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EA" w:rsidRPr="007811EA" w:rsidRDefault="007811EA" w:rsidP="007811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5" w:tooltip="Ссылка на Пост. Правительства РТ О Порядке учёта и отчетности в сфере питьевого водоснабжения и водоотведения" w:history="1">
        <w:r w:rsidRPr="007811EA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 Правительства</w:t>
        </w:r>
      </w:hyperlink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Республики Таджикистан </w:t>
      </w: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br/>
        <w:t>от 27 февраля 2020 года, №117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5PV0WYAJH"/>
      <w:bookmarkEnd w:id="0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УЧЁТА И ОТЧЕТНОСТИ В СФЕРЕ ПИТЬЕВОГО ВОДОСНАБЖЕНИЯ И ВОДООТВЕДЕНИЯ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A5PV0X0JIN"/>
      <w:bookmarkEnd w:id="1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разработан на основе статьи 5 </w:t>
      </w:r>
      <w:hyperlink r:id="rId6" w:tooltip="Ссылка на Закон РТ О питьевом водоснабжении и водоотведении" w:history="1">
        <w:r w:rsidRPr="007811EA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Таджикистан "О питьевом водоснабжении и водоотведении" и определяет порядок ведения учёта систем питьевого водоснабжения, а также порядок ведения учёта воды, используемой из централизованных, нецентрализованных и автономных систем питьевого водоснабжения, отводимых сточных вод (канализационные сточные воды) и порядок отчетности в сфере питьевого водоснабжения и водоотведения на территории Республики Таджикистан.</w:t>
      </w:r>
      <w:proofErr w:type="gramEnd"/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2. Выполнение требований, установленных настоящим Порядком, является обязательным для всех собственников систем питьевого водоснабжения и водоотведения, организаций питьевого водоснабжения и водоотведения, независимо от форм их собственности и подчинённости.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3. Учет систем питьевого водоснабжения и водоотведения осуществляется с целью сбора сведений и создания информационной базы данных о системах питьевого водоснабжения и водоотведения, их состоянии, а также состоянии источников питьевого водоснабжения и ме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ст сбр</w:t>
      </w:r>
      <w:proofErr w:type="gram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оса сточных вод.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4. Учет количества систем питьевого водоснабжения и водоотведения ведется по их фактическому состоянию и использованию.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Учет воды, используемой из централизованных, нецентрализованных и автономных систем питьевого водоснабжения, а также отводимых сточных вод, осуществляется собственниками этих систем с целью сбора сведений и создания информационной базы данных об их количестве, качестве и стоимости услуг по обеспечению питьевой водой и водоотведением потребителей питьевой воды и пользователей системами водоотведения в определенный период в целях планирования, инвестирования, реконструкции и строительства таких</w:t>
      </w:r>
      <w:proofErr w:type="gram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A5PV0X126I"/>
      <w:bookmarkEnd w:id="2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ПРАВИЛА УЧЕТА ВОДЫ, ИСПОЛЬЗУЕМОЙ ИЗ ЦЕНТРАЛИЗОВАННЫХ, НЕЦЕНТРАЛИЗОВАННЫХ И АВТОНОМНЫХ СИСТЕМ ПИТЬЕВОГО ВОДОСНАБЖЕНИЯ И ОТВОДИМЫХ СТОЧНЫХ ВОД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6. Учет воды, используемой из централизованных, нецентрализованных и автономных систем питьевого водоснабжения, а также отводимых сточных вод осуществляется 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контрольно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измерительными приборами, установка и работоспособность которых обеспечивается собственниками этих систем.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7. Собственники централизованных, нецентрализованных и автономных систем питьевого водоснабжения и водоотведения обязаны соблюдать установленные правила эксплуатации водных контрольно-измерительных приборов и устройств.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A5PV0X1NDJ"/>
      <w:bookmarkEnd w:id="3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ПОЛНОМОЧИЯ ГОСУДАРСТВЕННЫХ ОРГАНОВ ПРИ ВЕДЕНИИ УЧЕТА В СФЕРЕ ПИТЬЕВОГО ВОДОСНАБЖЕНИЯ И ВОДООТВЕДЕНИЯ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8. Государственное унитарное предприятие "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Хочагии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манзилию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коммунали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"и</w:t>
      </w:r>
      <w:proofErr w:type="gram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меет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полномочия: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ведение единой политики государственного учета в сфере питьевого водоснабжения и водоотведения, эксплуатации, развития и координации, подключения и монтажа приборов учета питьевой воды, соответствующих действующим стандартам Республики Таджикистан на водоводах, системах питьевого водоснабжения, сооружениях, зданиях и квартирах, упорядочение нормативов потребления питьевой воды потребителями, независимо от их форм собственности, а также сбор, анализ и обобщение данных по использованию питьевой воды и водоотведению;</w:t>
      </w:r>
      <w:proofErr w:type="gramEnd"/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создание страхового фонда за счет сре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дств пл</w:t>
      </w:r>
      <w:proofErr w:type="gram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аты за услуги питьевого водоснабжения и водоотведения для восстановления основных фондов и ликвидации последствий чрезвычайных ситуаций;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создание и использование базы данных и информационной системы о системах и источниках питьевого водоснабжения и водоотведения.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9. Министерство энергетики и водных ресурсов Республики Таджикистан имеет следующие полномочия: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ведение государственного водного кадастра (по разделу использования вод);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- ведение государственного учета состояния источников водных ресурсов; 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организация рационального использования основ государственного водного фонда;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10. Комитет по охране окружающей среды при Правительстве Республики Таджикистан имеет следующие полномочия: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ведение государственного водного кадастра (по разделу наземные воды);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- ведение государственного надзора учета наземных и подземных источников питьевого водоснабжения; 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организация и проведение экологического мониторинга, комплексное прогнозирование и изучение состояния источников питьевого водоснабжения и регулирование места сброса сточных вод; 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создание в установленном порядке государственных информационных ресурсов состояния источников питьевого водоснабжения, их использования, а также места сброса сточных вод.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11. Главное управление геологии при Правительстве Республики Таджикистан ведет государственный кадастр подземных источников питьевого водоснабжения и представляет обобщенные данные кадастра Комитету по охране окружающей среды при Правительстве Республики.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12. Министерство здравоохранение и социальной защиты населения Республики Таджикистан имеет следующие полномочия: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осуществляет государственный санитарно-эпидемиологический надзор за соблюдением законодательства в этой сфере;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- представляет в соответствующие органы предложения по совершенствованию статистической политики в области санитарно-эпидемиологической безопасности населения и принимает участие в обсуждении этих вопросов.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4" w:name="A5PV0X3HJH"/>
      <w:bookmarkEnd w:id="4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ПОРЯДОК ПРЕДОС</w:t>
      </w:r>
      <w:bookmarkStart w:id="5" w:name="_GoBack"/>
      <w:bookmarkEnd w:id="5"/>
      <w:r w:rsidRPr="007811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ТАВЛЕНИЯ ОТЧЕТНОСТИ В СФЕРЕ ПИТЬЕВОГО ВОДОСНАБЖЕНИЯ И ВОДООТВЕДЕНИЯ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13. Собственники систем питьевого водоснабжения и водоотведения, независимо от форм их собственности и подчинённости обязаны представлять в государственное унитарное предприятие "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Хочагии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манзилию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коммунали</w:t>
      </w:r>
      <w:proofErr w:type="spell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" достоверную информацию о состоянии систем питьевого водоснабжения и водоотведения, а также о количестве и качестве используемых ими источников питьевого водоснабжения и местах сброса сточных вод.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14. Форма отчетности о состоянии систем питьевого водоснабжения и водоотведения, а также о количестве и качестве источников питьевого водоснабжения и ме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ст сбр</w:t>
      </w:r>
      <w:proofErr w:type="gramEnd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оса сточных вод утверждается Агентством по статистике при Президенте Республики Таджикистан.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15. Отчёты о состоянии систем питьевого водоснабжения и водоотведения, а также о количестве и качестве источников питьевого водоснабжения и места сброса сточных вод представляются в утвержденных статистических формах Агентством по статистике при Правительстве Республики Таджикистан.</w:t>
      </w:r>
    </w:p>
    <w:p w:rsidR="007811EA" w:rsidRPr="007811EA" w:rsidRDefault="007811EA" w:rsidP="007811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proofErr w:type="gramStart"/>
      <w:r w:rsidRPr="007811EA">
        <w:rPr>
          <w:rFonts w:ascii="Times New Roman" w:eastAsia="Times New Roman" w:hAnsi="Times New Roman"/>
          <w:sz w:val="28"/>
          <w:szCs w:val="28"/>
          <w:lang w:eastAsia="ru-RU"/>
        </w:rPr>
        <w:t>Собственники систем питьевого водоснабжения и водоотведения ответственны за своевременное и правильное представление статистической отчетности о состоянии систем питьевого водоснабжения и водоотведения, а также о количестве источников питьевого водоснабжения и водоотведения, качестве питьевой и сточной воды в порядке, установленном законодательством Республики Таджикистан.</w:t>
      </w:r>
      <w:proofErr w:type="gramEnd"/>
    </w:p>
    <w:p w:rsidR="00E929D9" w:rsidRPr="007811EA" w:rsidRDefault="00E929D9" w:rsidP="007811EA">
      <w:pPr>
        <w:jc w:val="both"/>
        <w:rPr>
          <w:rFonts w:ascii="Times New Roman" w:hAnsi="Times New Roman"/>
          <w:sz w:val="28"/>
          <w:szCs w:val="28"/>
        </w:rPr>
      </w:pPr>
    </w:p>
    <w:sectPr w:rsidR="00E929D9" w:rsidRPr="007811EA" w:rsidSect="007811E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A"/>
    <w:rsid w:val="0059027A"/>
    <w:rsid w:val="007811EA"/>
    <w:rsid w:val="008D6562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34478" TargetMode="External"/><Relationship Id="rId5" Type="http://schemas.openxmlformats.org/officeDocument/2006/relationships/hyperlink" Target="vfp://rgn=1358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2020-06-22T04:10:00Z</dcterms:created>
  <dcterms:modified xsi:type="dcterms:W3CDTF">2020-06-22T04:11:00Z</dcterms:modified>
</cp:coreProperties>
</file>