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6A" w:rsidRPr="009C1A83" w:rsidRDefault="00056C71" w:rsidP="00452B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1" o:spid="_x0000_s1026" style="position:absolute;left:0;text-align:left;z-index:251659264;visibility:visible" from="-85.05pt,26.55pt" to="510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" strokecolor="black [3213]"/>
        </w:pict>
      </w:r>
      <w:r w:rsidR="009C626A" w:rsidRPr="009C1A83">
        <w:rPr>
          <w:rFonts w:ascii="Times New Roman" w:hAnsi="Times New Roman" w:cs="Times New Roman"/>
          <w:sz w:val="32"/>
          <w:szCs w:val="32"/>
        </w:rPr>
        <w:t>СОВЕТ ЭКОНОМИЧЕСКОЙ ВЗАИМОПОМОЩИ</w:t>
      </w:r>
    </w:p>
    <w:p w:rsidR="009C626A" w:rsidRPr="009C1A83" w:rsidRDefault="009C626A" w:rsidP="00452B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26A" w:rsidRPr="00903021" w:rsidRDefault="009C626A" w:rsidP="00452B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СОВЕЩАНИЕ РУКОВОДИТЕЛЕЙ </w:t>
      </w:r>
    </w:p>
    <w:p w:rsidR="009C626A" w:rsidRPr="009C1A83" w:rsidRDefault="009C626A" w:rsidP="00452B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ВОДОХОЗЯЙСТВЕННЫХ ОРГАНОВ СТРАН-ЧЛЕНОВ СЭВ</w:t>
      </w:r>
    </w:p>
    <w:p w:rsidR="009C626A" w:rsidRPr="00903021" w:rsidRDefault="009C626A" w:rsidP="00452B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26A" w:rsidRPr="00903021" w:rsidRDefault="009C626A" w:rsidP="00452B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26A" w:rsidRPr="00903021" w:rsidRDefault="009C626A" w:rsidP="00452B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452B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32F">
        <w:rPr>
          <w:rFonts w:ascii="Times New Roman" w:hAnsi="Times New Roman" w:cs="Times New Roman"/>
          <w:b/>
          <w:sz w:val="36"/>
          <w:szCs w:val="36"/>
        </w:rPr>
        <w:t>ЖЕСТКОСТЬ</w:t>
      </w:r>
    </w:p>
    <w:p w:rsidR="00E7032F" w:rsidRDefault="00E7032F" w:rsidP="00452B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26A" w:rsidRPr="009C1A83" w:rsidRDefault="009C626A" w:rsidP="00452BD5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ЧАСТЬ I </w:t>
      </w:r>
    </w:p>
    <w:p w:rsidR="009C626A" w:rsidRPr="009C1A83" w:rsidRDefault="009C626A" w:rsidP="00452BD5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Методы химического анализа вод</w:t>
      </w:r>
    </w:p>
    <w:p w:rsidR="009C626A" w:rsidRPr="009C1A83" w:rsidRDefault="009C626A" w:rsidP="002B43A9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Том 1</w:t>
      </w:r>
    </w:p>
    <w:p w:rsidR="009C626A" w:rsidRPr="009C1A83" w:rsidRDefault="009C626A" w:rsidP="002B43A9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ОСНОВНЫЕ МЕТОДЫ</w:t>
      </w:r>
    </w:p>
    <w:p w:rsidR="009C626A" w:rsidRPr="009C1A83" w:rsidRDefault="009C626A" w:rsidP="002B43A9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Издание четвертое</w:t>
      </w:r>
    </w:p>
    <w:p w:rsidR="009C626A" w:rsidRPr="002B43A9" w:rsidRDefault="009C626A" w:rsidP="00452BD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45CFE" w:rsidRPr="002B43A9" w:rsidRDefault="00B45CFE" w:rsidP="00452BD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C626A" w:rsidRPr="00903021" w:rsidRDefault="009C626A" w:rsidP="00452BD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C626A" w:rsidRDefault="009C626A" w:rsidP="00452BD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7032F" w:rsidRPr="00903021" w:rsidRDefault="00E7032F" w:rsidP="00452BD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C626A" w:rsidRPr="00903021" w:rsidRDefault="009C626A" w:rsidP="00452BD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C626A" w:rsidRPr="00903021" w:rsidRDefault="009C626A" w:rsidP="00452BD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C626A" w:rsidRPr="00903021" w:rsidRDefault="009C626A" w:rsidP="00452BD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C626A" w:rsidRPr="00903021" w:rsidRDefault="009C626A" w:rsidP="002B4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626A" w:rsidRPr="00165521" w:rsidRDefault="009C626A" w:rsidP="00452BD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A83">
        <w:rPr>
          <w:rFonts w:ascii="Times New Roman" w:hAnsi="Times New Roman" w:cs="Times New Roman"/>
          <w:sz w:val="24"/>
          <w:szCs w:val="24"/>
        </w:rPr>
        <w:t>МОСКВА -1987</w:t>
      </w:r>
    </w:p>
    <w:sdt>
      <w:sdtPr>
        <w:id w:val="53162846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7A4B65" w:rsidRPr="007A4B65" w:rsidRDefault="007A4B65">
          <w:pPr>
            <w:pStyle w:val="a6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7A4B6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7A4B65" w:rsidRPr="007A4B65" w:rsidRDefault="007A4B6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7A4B6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7A4B6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7A4B6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332379322" w:history="1">
            <w:r w:rsidRPr="007A4B65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ЖЕСТКОСТЬ</w:t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_Toc332379322 \h </w:instrText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7A4B65" w:rsidRPr="007A4B65" w:rsidRDefault="007A4B6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332379323" w:history="1">
            <w:r w:rsidRPr="007A4B65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КОМПЛЕКСОНОМЕТРИЧЕСКИЕ ОПРЕДЕЛЕНИЯ</w:t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_Toc332379323 \h </w:instrText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7A4B65" w:rsidRPr="007A4B65" w:rsidRDefault="007A4B6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332379324" w:history="1">
            <w:r w:rsidRPr="007A4B65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РАСЧЕТ КАРБОНАТНОЙ И НЕКАРБОНАТНОЙ ЖЕСТКОСТИ ВОДЫ</w:t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_Toc332379324 \h </w:instrText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7A4B6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7A4B65" w:rsidRDefault="007A4B65">
          <w:r w:rsidRPr="007A4B65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B65" w:rsidRDefault="007A4B65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32F" w:rsidRDefault="00E7032F" w:rsidP="002B4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3A9" w:rsidRPr="007A4B65" w:rsidRDefault="002B43A9" w:rsidP="007A4B65">
      <w:pPr>
        <w:pStyle w:val="1"/>
      </w:pPr>
      <w:bookmarkStart w:id="0" w:name="_Toc332379322"/>
      <w:r w:rsidRPr="007A4B65">
        <w:lastRenderedPageBreak/>
        <w:t>ЖЕСТКОСТЬ</w:t>
      </w:r>
      <w:bookmarkStart w:id="1" w:name="_GoBack"/>
      <w:bookmarkEnd w:id="0"/>
      <w:bookmarkEnd w:id="1"/>
    </w:p>
    <w:p w:rsidR="002B43A9" w:rsidRPr="007A4B65" w:rsidRDefault="002B43A9" w:rsidP="00C20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Общая жесткость воды показывает концентрацию катионов двухвалентных щело</w:t>
      </w:r>
      <w:r w:rsidRPr="007A4B65">
        <w:rPr>
          <w:rFonts w:ascii="Times New Roman" w:hAnsi="Times New Roman" w:cs="Times New Roman"/>
          <w:sz w:val="24"/>
          <w:szCs w:val="24"/>
        </w:rPr>
        <w:t>ч</w:t>
      </w:r>
      <w:r w:rsidRPr="007A4B65">
        <w:rPr>
          <w:rFonts w:ascii="Times New Roman" w:hAnsi="Times New Roman" w:cs="Times New Roman"/>
          <w:sz w:val="24"/>
          <w:szCs w:val="24"/>
        </w:rPr>
        <w:t>ноземельных металлов, прежде всего кальция и магния. Эти элементы в природных усл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виях попадают в воду вследствие воздействия углекислоты на карбонатные минералы или в результате биохимических процессов, происходящих в увлажненных слоях почвы. Жесткость приро</w:t>
      </w:r>
      <w:r w:rsidRPr="007A4B65">
        <w:rPr>
          <w:rFonts w:ascii="Times New Roman" w:hAnsi="Times New Roman" w:cs="Times New Roman"/>
          <w:sz w:val="24"/>
          <w:szCs w:val="24"/>
        </w:rPr>
        <w:t>д</w:t>
      </w:r>
      <w:r w:rsidRPr="007A4B65">
        <w:rPr>
          <w:rFonts w:ascii="Times New Roman" w:hAnsi="Times New Roman" w:cs="Times New Roman"/>
          <w:sz w:val="24"/>
          <w:szCs w:val="24"/>
        </w:rPr>
        <w:t>ных вод может изменяться при проведении процессов водоподготовки и очистки сточных .вод.</w:t>
      </w:r>
    </w:p>
    <w:p w:rsidR="002B43A9" w:rsidRPr="007A4B65" w:rsidRDefault="002B43A9" w:rsidP="00C20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Количество кальция и магния, а эквивалентное количеству карбонатов и гидрока</w:t>
      </w:r>
      <w:r w:rsidRPr="007A4B65">
        <w:rPr>
          <w:rFonts w:ascii="Times New Roman" w:hAnsi="Times New Roman" w:cs="Times New Roman"/>
          <w:sz w:val="24"/>
          <w:szCs w:val="24"/>
        </w:rPr>
        <w:t>р</w:t>
      </w:r>
      <w:r w:rsidRPr="007A4B65">
        <w:rPr>
          <w:rFonts w:ascii="Times New Roman" w:hAnsi="Times New Roman" w:cs="Times New Roman"/>
          <w:sz w:val="24"/>
          <w:szCs w:val="24"/>
        </w:rPr>
        <w:t>бонатов, называется карбонатной жесткостью. Некарбонатная жесткость определяется как разность между общей и карбонатной жесткостью и показывает количество катионов щ</w:t>
      </w:r>
      <w:r w:rsidRPr="007A4B65">
        <w:rPr>
          <w:rFonts w:ascii="Times New Roman" w:hAnsi="Times New Roman" w:cs="Times New Roman"/>
          <w:sz w:val="24"/>
          <w:szCs w:val="24"/>
        </w:rPr>
        <w:t>е</w:t>
      </w:r>
      <w:r w:rsidRPr="007A4B65">
        <w:rPr>
          <w:rFonts w:ascii="Times New Roman" w:hAnsi="Times New Roman" w:cs="Times New Roman"/>
          <w:sz w:val="24"/>
          <w:szCs w:val="24"/>
        </w:rPr>
        <w:t>лочноземельных металлов, соответствующее  минеральных кислот: хлорид-, сульфит-, нитрат-ионам и др«</w:t>
      </w:r>
    </w:p>
    <w:p w:rsidR="002B43A9" w:rsidRPr="007A4B65" w:rsidRDefault="002B43A9" w:rsidP="00C20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Общую жесткость определяют в питьевых, подземных и поверхнос</w:t>
      </w:r>
      <w:r w:rsidRPr="007A4B65">
        <w:rPr>
          <w:rFonts w:ascii="Times New Roman" w:hAnsi="Times New Roman" w:cs="Times New Roman"/>
          <w:sz w:val="24"/>
          <w:szCs w:val="24"/>
        </w:rPr>
        <w:t>т</w:t>
      </w:r>
      <w:r w:rsidRPr="007A4B65">
        <w:rPr>
          <w:rFonts w:ascii="Times New Roman" w:hAnsi="Times New Roman" w:cs="Times New Roman"/>
          <w:sz w:val="24"/>
          <w:szCs w:val="24"/>
        </w:rPr>
        <w:t>ных водах, а в особых случаях также и в сточ</w:t>
      </w:r>
      <w:r w:rsidR="00A84CAD" w:rsidRPr="007A4B65">
        <w:rPr>
          <w:rFonts w:ascii="Times New Roman" w:hAnsi="Times New Roman" w:cs="Times New Roman"/>
          <w:sz w:val="24"/>
          <w:szCs w:val="24"/>
        </w:rPr>
        <w:t xml:space="preserve">ных </w:t>
      </w:r>
      <w:r w:rsidRPr="007A4B65">
        <w:rPr>
          <w:rFonts w:ascii="Times New Roman" w:hAnsi="Times New Roman" w:cs="Times New Roman"/>
          <w:sz w:val="24"/>
          <w:szCs w:val="24"/>
        </w:rPr>
        <w:t>водах</w:t>
      </w:r>
      <w:r w:rsidR="00A84CAD" w:rsidRPr="007A4B65">
        <w:rPr>
          <w:rFonts w:ascii="Times New Roman" w:hAnsi="Times New Roman" w:cs="Times New Roman"/>
          <w:sz w:val="24"/>
          <w:szCs w:val="24"/>
        </w:rPr>
        <w:t>.</w:t>
      </w:r>
      <w:r w:rsidRPr="007A4B65">
        <w:rPr>
          <w:rFonts w:ascii="Times New Roman" w:hAnsi="Times New Roman" w:cs="Times New Roman"/>
          <w:sz w:val="24"/>
          <w:szCs w:val="24"/>
        </w:rPr>
        <w:t xml:space="preserve"> Ниже приводятся </w:t>
      </w:r>
      <w:r w:rsidR="00A84CAD" w:rsidRPr="007A4B65">
        <w:rPr>
          <w:rFonts w:ascii="Times New Roman" w:hAnsi="Times New Roman" w:cs="Times New Roman"/>
          <w:sz w:val="24"/>
          <w:szCs w:val="24"/>
        </w:rPr>
        <w:t>комплексометрический</w:t>
      </w:r>
      <w:r w:rsidRPr="007A4B65">
        <w:rPr>
          <w:rFonts w:ascii="Times New Roman" w:hAnsi="Times New Roman" w:cs="Times New Roman"/>
          <w:sz w:val="24"/>
          <w:szCs w:val="24"/>
        </w:rPr>
        <w:t xml:space="preserve"> метод определения общей жесткости вод всех видов и потенциометрическое определении с ИСЭ в поверхностных водах.</w:t>
      </w: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2264"/>
        <w:gridCol w:w="1104"/>
        <w:gridCol w:w="1134"/>
        <w:gridCol w:w="1322"/>
        <w:gridCol w:w="2158"/>
        <w:gridCol w:w="1409"/>
      </w:tblGrid>
      <w:tr w:rsidR="00E417B5" w:rsidRPr="007A4B65" w:rsidTr="00E417B5">
        <w:trPr>
          <w:trHeight w:val="419"/>
        </w:trPr>
        <w:tc>
          <w:tcPr>
            <w:tcW w:w="9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Пересчёт жёсткости воды 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1/</w:t>
            </w:r>
          </w:p>
        </w:tc>
      </w:tr>
      <w:tr w:rsidR="00E417B5" w:rsidRPr="007A4B65" w:rsidTr="00E417B5">
        <w:trPr>
          <w:trHeight w:val="173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жёстк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Мг-экв/л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Н/10 мг СаО/л/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Ф/10 мг СаСО3/л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А/1 грамм </w:t>
            </w:r>
          </w:p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СаСО3/1галлон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ppm/1 мг С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СО3/кг</w:t>
            </w:r>
          </w:p>
        </w:tc>
      </w:tr>
      <w:tr w:rsidR="00E417B5" w:rsidRPr="007A4B65" w:rsidTr="00E417B5">
        <w:trPr>
          <w:trHeight w:val="41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мг-экв/л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417B5" w:rsidRPr="007A4B65" w:rsidTr="00E417B5">
        <w:trPr>
          <w:trHeight w:val="482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Н/немецкий/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E417B5" w:rsidRPr="007A4B65" w:rsidTr="00E417B5">
        <w:trPr>
          <w:trHeight w:val="482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Ф/Франзузкий/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17B5" w:rsidRPr="007A4B65" w:rsidTr="00E417B5">
        <w:trPr>
          <w:trHeight w:val="482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А/Английский/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E417B5" w:rsidRPr="007A4B65" w:rsidTr="00E417B5">
        <w:trPr>
          <w:trHeight w:val="41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1ppm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B5" w:rsidRPr="007A4B65" w:rsidRDefault="00E417B5" w:rsidP="00E4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417B5" w:rsidRPr="007A4B65" w:rsidRDefault="00E417B5" w:rsidP="00E417B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1/ Приведённые данные относятся к воде с плотностью, равнойединице или бли</w:t>
      </w:r>
      <w:r w:rsidRPr="007A4B65">
        <w:rPr>
          <w:rFonts w:ascii="Times New Roman" w:hAnsi="Times New Roman" w:cs="Times New Roman"/>
          <w:sz w:val="24"/>
          <w:szCs w:val="24"/>
        </w:rPr>
        <w:t>з</w:t>
      </w:r>
      <w:r w:rsidRPr="007A4B65">
        <w:rPr>
          <w:rFonts w:ascii="Times New Roman" w:hAnsi="Times New Roman" w:cs="Times New Roman"/>
          <w:sz w:val="24"/>
          <w:szCs w:val="24"/>
        </w:rPr>
        <w:t>кой к единице.</w:t>
      </w:r>
    </w:p>
    <w:p w:rsidR="00E417B5" w:rsidRPr="007A4B65" w:rsidRDefault="00E417B5" w:rsidP="00E417B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2/ 1 мг-экв/л=0,5 мол/л</w:t>
      </w:r>
    </w:p>
    <w:p w:rsidR="00E417B5" w:rsidRDefault="00E417B5" w:rsidP="00E417B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A4B65" w:rsidRDefault="007A4B65" w:rsidP="00E417B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A4B65" w:rsidRPr="007A4B65" w:rsidRDefault="007A4B65" w:rsidP="00E417B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17B5" w:rsidRPr="007A4B65" w:rsidRDefault="00E417B5" w:rsidP="00E417B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17B5" w:rsidRPr="007A4B65" w:rsidRDefault="00E417B5" w:rsidP="007A4B65">
      <w:pPr>
        <w:pStyle w:val="1"/>
      </w:pPr>
      <w:bookmarkStart w:id="2" w:name="_Toc332379323"/>
      <w:r w:rsidRPr="007A4B65">
        <w:lastRenderedPageBreak/>
        <w:t>КОМПЛЕКСОНОМЕТРИЧЕСКИЕ ОПРЕДЕЛЕНИЯ</w:t>
      </w:r>
      <w:bookmarkEnd w:id="2"/>
    </w:p>
    <w:p w:rsidR="00E417B5" w:rsidRPr="007A4B65" w:rsidRDefault="00E417B5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В водной среде зтилендиаминтетраацетат натрия образует при рН 10 прочные ко</w:t>
      </w:r>
      <w:r w:rsidRPr="007A4B65">
        <w:rPr>
          <w:rFonts w:ascii="Times New Roman" w:hAnsi="Times New Roman" w:cs="Times New Roman"/>
          <w:sz w:val="24"/>
          <w:szCs w:val="24"/>
        </w:rPr>
        <w:t>м</w:t>
      </w:r>
      <w:r w:rsidRPr="007A4B65">
        <w:rPr>
          <w:rFonts w:ascii="Times New Roman" w:hAnsi="Times New Roman" w:cs="Times New Roman"/>
          <w:sz w:val="24"/>
          <w:szCs w:val="24"/>
        </w:rPr>
        <w:t>плексные соединения сначала с ионами кальция, затем с ионами магния. Когда в анализ</w:t>
      </w:r>
      <w:r w:rsidRPr="007A4B65">
        <w:rPr>
          <w:rFonts w:ascii="Times New Roman" w:hAnsi="Times New Roman" w:cs="Times New Roman"/>
          <w:sz w:val="24"/>
          <w:szCs w:val="24"/>
        </w:rPr>
        <w:t>и</w:t>
      </w:r>
      <w:r w:rsidRPr="007A4B65">
        <w:rPr>
          <w:rFonts w:ascii="Times New Roman" w:hAnsi="Times New Roman" w:cs="Times New Roman"/>
          <w:sz w:val="24"/>
          <w:szCs w:val="24"/>
        </w:rPr>
        <w:t>руемую воду вводят эриохром черный Т, он образует с ионами магния вишнево-красное комплексное соединение. При последующем титровании комплексоном Ш последний, с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единяясь с ионами кальция и затем с ионами магния, вытесняет индикатор, который в свободной норме имеет синюю окраску. Определение будет правильным, если титруемый ра</w:t>
      </w:r>
      <w:r w:rsidRPr="007A4B65">
        <w:rPr>
          <w:rFonts w:ascii="Times New Roman" w:hAnsi="Times New Roman" w:cs="Times New Roman"/>
          <w:sz w:val="24"/>
          <w:szCs w:val="24"/>
        </w:rPr>
        <w:t>с</w:t>
      </w:r>
      <w:r w:rsidRPr="007A4B65">
        <w:rPr>
          <w:rFonts w:ascii="Times New Roman" w:hAnsi="Times New Roman" w:cs="Times New Roman"/>
          <w:sz w:val="24"/>
          <w:szCs w:val="24"/>
        </w:rPr>
        <w:t>твор имеет рН 10 + 0„2 и содержит достаточное количество ионов магния.</w:t>
      </w:r>
    </w:p>
    <w:p w:rsidR="00E417B5" w:rsidRPr="007A4B65" w:rsidRDefault="00E417B5" w:rsidP="00E417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Мешающие влияния</w:t>
      </w:r>
    </w:p>
    <w:p w:rsidR="00E417B5" w:rsidRPr="007A4B65" w:rsidRDefault="00E417B5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Если в сосуде с пробой в промежуток времени между ее взятием и обработкой в</w:t>
      </w:r>
      <w:r w:rsidRPr="007A4B65">
        <w:rPr>
          <w:rFonts w:ascii="Times New Roman" w:hAnsi="Times New Roman" w:cs="Times New Roman"/>
          <w:sz w:val="24"/>
          <w:szCs w:val="24"/>
        </w:rPr>
        <w:t>ы</w:t>
      </w:r>
      <w:r w:rsidRPr="007A4B65">
        <w:rPr>
          <w:rFonts w:ascii="Times New Roman" w:hAnsi="Times New Roman" w:cs="Times New Roman"/>
          <w:sz w:val="24"/>
          <w:szCs w:val="24"/>
        </w:rPr>
        <w:t>делился карбонат кальция, пробу следует обработать способом, описанным для устран</w:t>
      </w:r>
      <w:r w:rsidRPr="007A4B65">
        <w:rPr>
          <w:rFonts w:ascii="Times New Roman" w:hAnsi="Times New Roman" w:cs="Times New Roman"/>
          <w:sz w:val="24"/>
          <w:szCs w:val="24"/>
        </w:rPr>
        <w:t>е</w:t>
      </w:r>
      <w:r w:rsidRPr="007A4B65">
        <w:rPr>
          <w:rFonts w:ascii="Times New Roman" w:hAnsi="Times New Roman" w:cs="Times New Roman"/>
          <w:sz w:val="24"/>
          <w:szCs w:val="24"/>
        </w:rPr>
        <w:t>ния этого явления в разделе определения кальция.</w:t>
      </w:r>
    </w:p>
    <w:p w:rsidR="00E417B5" w:rsidRPr="007A4B65" w:rsidRDefault="00E417B5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Неявный переход окраски индикатора происходит вследствие недостаточного ра</w:t>
      </w:r>
      <w:r w:rsidRPr="007A4B65">
        <w:rPr>
          <w:rFonts w:ascii="Times New Roman" w:hAnsi="Times New Roman" w:cs="Times New Roman"/>
          <w:sz w:val="24"/>
          <w:szCs w:val="24"/>
        </w:rPr>
        <w:t>з</w:t>
      </w:r>
      <w:r w:rsidRPr="007A4B65">
        <w:rPr>
          <w:rFonts w:ascii="Times New Roman" w:hAnsi="Times New Roman" w:cs="Times New Roman"/>
          <w:sz w:val="24"/>
          <w:szCs w:val="24"/>
        </w:rPr>
        <w:t>бавления пробы /высокой концентрации определяемых компонентов/ или присутствия м</w:t>
      </w:r>
      <w:r w:rsidRPr="007A4B65">
        <w:rPr>
          <w:rFonts w:ascii="Times New Roman" w:hAnsi="Times New Roman" w:cs="Times New Roman"/>
          <w:sz w:val="24"/>
          <w:szCs w:val="24"/>
        </w:rPr>
        <w:t>е</w:t>
      </w:r>
      <w:r w:rsidRPr="007A4B65">
        <w:rPr>
          <w:rFonts w:ascii="Times New Roman" w:hAnsi="Times New Roman" w:cs="Times New Roman"/>
          <w:sz w:val="24"/>
          <w:szCs w:val="24"/>
        </w:rPr>
        <w:t>таллов, комплексные соединения которых с пр</w:t>
      </w:r>
      <w:r w:rsidRPr="007A4B65">
        <w:rPr>
          <w:rFonts w:ascii="Times New Roman" w:hAnsi="Times New Roman" w:cs="Times New Roman"/>
          <w:sz w:val="24"/>
          <w:szCs w:val="24"/>
        </w:rPr>
        <w:t>и</w:t>
      </w:r>
      <w:r w:rsidRPr="007A4B65">
        <w:rPr>
          <w:rFonts w:ascii="Times New Roman" w:hAnsi="Times New Roman" w:cs="Times New Roman"/>
          <w:sz w:val="24"/>
          <w:szCs w:val="24"/>
        </w:rPr>
        <w:t>меняемым индикатором более прочны, чем с комплексоном Ш. Определению мешает присутствие алюминия /более 10 мг/л/, ж</w:t>
      </w:r>
      <w:r w:rsidRPr="007A4B65">
        <w:rPr>
          <w:rFonts w:ascii="Times New Roman" w:hAnsi="Times New Roman" w:cs="Times New Roman"/>
          <w:sz w:val="24"/>
          <w:szCs w:val="24"/>
        </w:rPr>
        <w:t>е</w:t>
      </w:r>
      <w:r w:rsidRPr="007A4B65">
        <w:rPr>
          <w:rFonts w:ascii="Times New Roman" w:hAnsi="Times New Roman" w:cs="Times New Roman"/>
          <w:sz w:val="24"/>
          <w:szCs w:val="24"/>
        </w:rPr>
        <w:t>леза /более 5 мг/л/, кобал</w:t>
      </w:r>
      <w:r w:rsidRPr="007A4B65">
        <w:rPr>
          <w:rFonts w:ascii="Times New Roman" w:hAnsi="Times New Roman" w:cs="Times New Roman"/>
          <w:sz w:val="24"/>
          <w:szCs w:val="24"/>
        </w:rPr>
        <w:t>ь</w:t>
      </w:r>
      <w:r w:rsidRPr="007A4B65">
        <w:rPr>
          <w:rFonts w:ascii="Times New Roman" w:hAnsi="Times New Roman" w:cs="Times New Roman"/>
          <w:sz w:val="24"/>
          <w:szCs w:val="24"/>
        </w:rPr>
        <w:t>та /более 0,1 мг/л/, меди /более 0,05 мг/л/ и марганца /Ш/ /более 0,05 мг/л/. Другие катионы, например свинец, кадмий, двухвалентный марганец, цинк, б</w:t>
      </w:r>
      <w:r w:rsidRPr="007A4B65">
        <w:rPr>
          <w:rFonts w:ascii="Times New Roman" w:hAnsi="Times New Roman" w:cs="Times New Roman"/>
          <w:sz w:val="24"/>
          <w:szCs w:val="24"/>
        </w:rPr>
        <w:t>а</w:t>
      </w:r>
      <w:r w:rsidRPr="007A4B65">
        <w:rPr>
          <w:rFonts w:ascii="Times New Roman" w:hAnsi="Times New Roman" w:cs="Times New Roman"/>
          <w:sz w:val="24"/>
          <w:szCs w:val="24"/>
        </w:rPr>
        <w:t>рий и стронций, титруется вместе с кальцием и магнием и повышают этим расход раств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ра комплексона.</w:t>
      </w:r>
    </w:p>
    <w:p w:rsidR="00E417B5" w:rsidRPr="007A4B65" w:rsidRDefault="00E417B5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Для устранения мешающих влияний при комдлексоно-метрическои титровании и маскировки тех катионов, которые связывают применяемый индикатор и ей повышает расход реактива, применяют смесь триэтанолам</w:t>
      </w:r>
      <w:r w:rsidRPr="007A4B65">
        <w:rPr>
          <w:rFonts w:ascii="Times New Roman" w:hAnsi="Times New Roman" w:cs="Times New Roman"/>
          <w:sz w:val="24"/>
          <w:szCs w:val="24"/>
        </w:rPr>
        <w:t>и</w:t>
      </w:r>
      <w:r w:rsidRPr="007A4B65">
        <w:rPr>
          <w:rFonts w:ascii="Times New Roman" w:hAnsi="Times New Roman" w:cs="Times New Roman"/>
          <w:sz w:val="24"/>
          <w:szCs w:val="24"/>
        </w:rPr>
        <w:t>на, гидроксиламина, цианида и сульфида калия: к 100 мл пробы прибавляют 0,1 мл/л раствор HCI до нейтральной реакции, доба</w:t>
      </w:r>
      <w:r w:rsidRPr="007A4B65">
        <w:rPr>
          <w:rFonts w:ascii="Times New Roman" w:hAnsi="Times New Roman" w:cs="Times New Roman"/>
          <w:sz w:val="24"/>
          <w:szCs w:val="24"/>
        </w:rPr>
        <w:t>в</w:t>
      </w:r>
      <w:r w:rsidRPr="007A4B65">
        <w:rPr>
          <w:rFonts w:ascii="Times New Roman" w:hAnsi="Times New Roman" w:cs="Times New Roman"/>
          <w:sz w:val="24"/>
          <w:szCs w:val="24"/>
        </w:rPr>
        <w:t>ляют 10 мл 30%-ного раствора тризтаноламина, 0,1 г твердого KCN , 0,1 г. твердого ги</w:t>
      </w:r>
      <w:r w:rsidRPr="007A4B65">
        <w:rPr>
          <w:rFonts w:ascii="Times New Roman" w:hAnsi="Times New Roman" w:cs="Times New Roman"/>
          <w:sz w:val="24"/>
          <w:szCs w:val="24"/>
        </w:rPr>
        <w:t>д</w:t>
      </w:r>
      <w:r w:rsidRPr="007A4B65">
        <w:rPr>
          <w:rFonts w:ascii="Times New Roman" w:hAnsi="Times New Roman" w:cs="Times New Roman"/>
          <w:sz w:val="24"/>
          <w:szCs w:val="24"/>
        </w:rPr>
        <w:t>роксиламингидрохлорида и пять капель 10%-ного раствора сульфида калия. Затем доба</w:t>
      </w:r>
      <w:r w:rsidRPr="007A4B65">
        <w:rPr>
          <w:rFonts w:ascii="Times New Roman" w:hAnsi="Times New Roman" w:cs="Times New Roman"/>
          <w:sz w:val="24"/>
          <w:szCs w:val="24"/>
        </w:rPr>
        <w:t>в</w:t>
      </w:r>
      <w:r w:rsidRPr="007A4B65">
        <w:rPr>
          <w:rFonts w:ascii="Times New Roman" w:hAnsi="Times New Roman" w:cs="Times New Roman"/>
          <w:sz w:val="24"/>
          <w:szCs w:val="24"/>
        </w:rPr>
        <w:t>ляют буферной раствор и продолжают анализ, как описано в ходе опр</w:t>
      </w:r>
      <w:r w:rsidRPr="007A4B65">
        <w:rPr>
          <w:rFonts w:ascii="Times New Roman" w:hAnsi="Times New Roman" w:cs="Times New Roman"/>
          <w:sz w:val="24"/>
          <w:szCs w:val="24"/>
        </w:rPr>
        <w:t>е</w:t>
      </w:r>
      <w:r w:rsidRPr="007A4B65">
        <w:rPr>
          <w:rFonts w:ascii="Times New Roman" w:hAnsi="Times New Roman" w:cs="Times New Roman"/>
          <w:sz w:val="24"/>
          <w:szCs w:val="24"/>
        </w:rPr>
        <w:t>деления.</w:t>
      </w:r>
    </w:p>
    <w:p w:rsidR="00E417B5" w:rsidRPr="007A4B65" w:rsidRDefault="00E417B5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Двуокись углероде в высоких концентрациях мешает определению, так как после прибавления буферного раствора и в ходе дальнейшего титрования выделяется карбон</w:t>
      </w:r>
      <w:r w:rsidRPr="007A4B65">
        <w:rPr>
          <w:rFonts w:ascii="Times New Roman" w:hAnsi="Times New Roman" w:cs="Times New Roman"/>
          <w:sz w:val="24"/>
          <w:szCs w:val="24"/>
        </w:rPr>
        <w:t>а</w:t>
      </w:r>
      <w:r w:rsidRPr="007A4B65">
        <w:rPr>
          <w:rFonts w:ascii="Times New Roman" w:hAnsi="Times New Roman" w:cs="Times New Roman"/>
          <w:sz w:val="24"/>
          <w:szCs w:val="24"/>
        </w:rPr>
        <w:t>ты, которые в конце титровании только постепенно растворяются. В таких случаях рек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мендуется подкислить пробу и прокипятить до удаления СО,</w:t>
      </w:r>
    </w:p>
    <w:p w:rsidR="00E417B5" w:rsidRPr="007A4B65" w:rsidRDefault="00E417B5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Нерастворенные и коллоидные вещества, присутствуют в больших количествах, препятствуют определению. При анализе обычных проб воды достаточно провести фил</w:t>
      </w:r>
      <w:r w:rsidRPr="007A4B65">
        <w:rPr>
          <w:rFonts w:ascii="Times New Roman" w:hAnsi="Times New Roman" w:cs="Times New Roman"/>
          <w:sz w:val="24"/>
          <w:szCs w:val="24"/>
        </w:rPr>
        <w:t>ь</w:t>
      </w:r>
      <w:r w:rsidRPr="007A4B65">
        <w:rPr>
          <w:rFonts w:ascii="Times New Roman" w:hAnsi="Times New Roman" w:cs="Times New Roman"/>
          <w:sz w:val="24"/>
          <w:szCs w:val="24"/>
        </w:rPr>
        <w:t>трование, при анализе сильно загрязненных природных или сточных вод следует опред</w:t>
      </w:r>
      <w:r w:rsidRPr="007A4B65">
        <w:rPr>
          <w:rFonts w:ascii="Times New Roman" w:hAnsi="Times New Roman" w:cs="Times New Roman"/>
          <w:sz w:val="24"/>
          <w:szCs w:val="24"/>
        </w:rPr>
        <w:t>е</w:t>
      </w:r>
      <w:r w:rsidRPr="007A4B65">
        <w:rPr>
          <w:rFonts w:ascii="Times New Roman" w:hAnsi="Times New Roman" w:cs="Times New Roman"/>
          <w:sz w:val="24"/>
          <w:szCs w:val="24"/>
        </w:rPr>
        <w:t>ленное количество отфильтрованной пробы выпарить досуха и удалить органические в</w:t>
      </w:r>
      <w:r w:rsidRPr="007A4B65">
        <w:rPr>
          <w:rFonts w:ascii="Times New Roman" w:hAnsi="Times New Roman" w:cs="Times New Roman"/>
          <w:sz w:val="24"/>
          <w:szCs w:val="24"/>
        </w:rPr>
        <w:t>е</w:t>
      </w:r>
      <w:r w:rsidRPr="007A4B65">
        <w:rPr>
          <w:rFonts w:ascii="Times New Roman" w:hAnsi="Times New Roman" w:cs="Times New Roman"/>
          <w:sz w:val="24"/>
          <w:szCs w:val="24"/>
        </w:rPr>
        <w:t>щества прокаливанием. Сильнокислые и сильнощелочные пробы перед определением нейтрализуют.</w:t>
      </w:r>
    </w:p>
    <w:p w:rsidR="009B4229" w:rsidRPr="007A4B65" w:rsidRDefault="009B4229" w:rsidP="009B422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Р е а к т и в ы</w:t>
      </w:r>
    </w:p>
    <w:p w:rsidR="009B4229" w:rsidRPr="007A4B65" w:rsidRDefault="009B4229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Аммиак + хлорид аммония, буферный раствор, рН 10.</w:t>
      </w:r>
    </w:p>
    <w:p w:rsidR="009B4229" w:rsidRPr="007A4B65" w:rsidRDefault="009B4229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lastRenderedPageBreak/>
        <w:t>Основной буферный раствор. 54,0 г хлорида аммония  ч.д.а. растворяют в 100 мл дистиллированной воды, прибавляют 350 мл концентрированн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го раствора аммиака ч.д.а. Смесь доводят до 500 мл дистиллированной в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дой.</w:t>
      </w:r>
    </w:p>
    <w:p w:rsidR="009B4229" w:rsidRPr="007A4B65" w:rsidRDefault="009B4229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Раствор сульфата магния. 1,232 г MgSO4 7н2о ч.д.а. растворяют в 80 мл дистилл</w:t>
      </w:r>
      <w:r w:rsidRPr="007A4B65">
        <w:rPr>
          <w:rFonts w:ascii="Times New Roman" w:hAnsi="Times New Roman" w:cs="Times New Roman"/>
          <w:sz w:val="24"/>
          <w:szCs w:val="24"/>
        </w:rPr>
        <w:t>и</w:t>
      </w:r>
      <w:r w:rsidRPr="007A4B65">
        <w:rPr>
          <w:rFonts w:ascii="Times New Roman" w:hAnsi="Times New Roman" w:cs="Times New Roman"/>
          <w:sz w:val="24"/>
          <w:szCs w:val="24"/>
        </w:rPr>
        <w:t>рованной воды и доводят до 100 мл /0,05 мол/л раствор/. К 50 мл приготовленного таким образом раствора сульфата магния, разбавленного приблизительно до 100 мл, прибавляют 5,0 мл основного буферного раствора и щепотку смеси индикатора эриохрома черного Т. Титруют 0,05 мол/л раствором комплексона до изменения окраски от фиолетовой до и</w:t>
      </w:r>
      <w:r w:rsidRPr="007A4B65">
        <w:rPr>
          <w:rFonts w:ascii="Times New Roman" w:hAnsi="Times New Roman" w:cs="Times New Roman"/>
          <w:sz w:val="24"/>
          <w:szCs w:val="24"/>
        </w:rPr>
        <w:t>н</w:t>
      </w:r>
      <w:r w:rsidRPr="007A4B65">
        <w:rPr>
          <w:rFonts w:ascii="Times New Roman" w:hAnsi="Times New Roman" w:cs="Times New Roman"/>
          <w:sz w:val="24"/>
          <w:szCs w:val="24"/>
        </w:rPr>
        <w:t>тенсивно-синей.</w:t>
      </w:r>
    </w:p>
    <w:p w:rsidR="009B4229" w:rsidRPr="007A4B65" w:rsidRDefault="009B4229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Рабочий буферный раствор. К 50 мл раствора сульфата магния, в котором магний определен комплексонометрически, прибавляют точно десятикратное количество 0,06 мол/л раствора комплексона Ш по сравнению с израсходованным во время предшеству</w:t>
      </w:r>
      <w:r w:rsidRPr="007A4B65">
        <w:rPr>
          <w:rFonts w:ascii="Times New Roman" w:hAnsi="Times New Roman" w:cs="Times New Roman"/>
          <w:sz w:val="24"/>
          <w:szCs w:val="24"/>
        </w:rPr>
        <w:t>ю</w:t>
      </w:r>
      <w:r w:rsidRPr="007A4B65">
        <w:rPr>
          <w:rFonts w:ascii="Times New Roman" w:hAnsi="Times New Roman" w:cs="Times New Roman"/>
          <w:sz w:val="24"/>
          <w:szCs w:val="24"/>
        </w:rPr>
        <w:t>щего титрования. Полученный раствор разбавляют приблизительно до 250 мл, прибавл</w:t>
      </w:r>
      <w:r w:rsidRPr="007A4B65">
        <w:rPr>
          <w:rFonts w:ascii="Times New Roman" w:hAnsi="Times New Roman" w:cs="Times New Roman"/>
          <w:sz w:val="24"/>
          <w:szCs w:val="24"/>
        </w:rPr>
        <w:t>я</w:t>
      </w:r>
      <w:r w:rsidRPr="007A4B65">
        <w:rPr>
          <w:rFonts w:ascii="Times New Roman" w:hAnsi="Times New Roman" w:cs="Times New Roman"/>
          <w:sz w:val="24"/>
          <w:szCs w:val="24"/>
        </w:rPr>
        <w:t>ют оставлялся часть /т.е приблизительно 496 мл/ основного буферного растворе и пол</w:t>
      </w:r>
      <w:r w:rsidRPr="007A4B65">
        <w:rPr>
          <w:rFonts w:ascii="Times New Roman" w:hAnsi="Times New Roman" w:cs="Times New Roman"/>
          <w:sz w:val="24"/>
          <w:szCs w:val="24"/>
        </w:rPr>
        <w:t>у</w:t>
      </w:r>
      <w:r w:rsidRPr="007A4B65">
        <w:rPr>
          <w:rFonts w:ascii="Times New Roman" w:hAnsi="Times New Roman" w:cs="Times New Roman"/>
          <w:sz w:val="24"/>
          <w:szCs w:val="24"/>
        </w:rPr>
        <w:t>ченную смесь доводят до 1 л дистиллированной водой.</w:t>
      </w:r>
    </w:p>
    <w:p w:rsidR="00775C18" w:rsidRPr="007A4B65" w:rsidRDefault="009B4229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Концентрацию приготовленного раствора проверяют следующим обр</w:t>
      </w:r>
      <w:r w:rsidRPr="007A4B65">
        <w:rPr>
          <w:rFonts w:ascii="Times New Roman" w:hAnsi="Times New Roman" w:cs="Times New Roman"/>
          <w:sz w:val="24"/>
          <w:szCs w:val="24"/>
        </w:rPr>
        <w:t>а</w:t>
      </w:r>
      <w:r w:rsidRPr="007A4B65">
        <w:rPr>
          <w:rFonts w:ascii="Times New Roman" w:hAnsi="Times New Roman" w:cs="Times New Roman"/>
          <w:sz w:val="24"/>
          <w:szCs w:val="24"/>
        </w:rPr>
        <w:t>зом: к 100 мл дистиллированной воды прибавляют точно отмеренные пипеткой 10,0 мл рабочего б</w:t>
      </w:r>
      <w:r w:rsidRPr="007A4B65">
        <w:rPr>
          <w:rFonts w:ascii="Times New Roman" w:hAnsi="Times New Roman" w:cs="Times New Roman"/>
          <w:sz w:val="24"/>
          <w:szCs w:val="24"/>
        </w:rPr>
        <w:t>у</w:t>
      </w:r>
      <w:r w:rsidRPr="007A4B65">
        <w:rPr>
          <w:rFonts w:ascii="Times New Roman" w:hAnsi="Times New Roman" w:cs="Times New Roman"/>
          <w:sz w:val="24"/>
          <w:szCs w:val="24"/>
        </w:rPr>
        <w:t>ферного раствора и щепочку смеси эриохрома черного Т. При этом должно появиться грязно-сине-фиолетовое окраску, которое после прибавления одной капли 0,05 мол/л ра</w:t>
      </w:r>
      <w:r w:rsidRPr="007A4B65">
        <w:rPr>
          <w:rFonts w:ascii="Times New Roman" w:hAnsi="Times New Roman" w:cs="Times New Roman"/>
          <w:sz w:val="24"/>
          <w:szCs w:val="24"/>
        </w:rPr>
        <w:t>с</w:t>
      </w:r>
      <w:r w:rsidRPr="007A4B65">
        <w:rPr>
          <w:rFonts w:ascii="Times New Roman" w:hAnsi="Times New Roman" w:cs="Times New Roman"/>
          <w:sz w:val="24"/>
          <w:szCs w:val="24"/>
        </w:rPr>
        <w:t>твора комплексона Ш должно перейти в чисто-синюю окраску. Если потребуется большой объем раствора комплексона Ш, на Каждые 10 мл буферного раствора при</w:t>
      </w:r>
      <w:r w:rsidR="00775C18" w:rsidRPr="007A4B65">
        <w:rPr>
          <w:rFonts w:ascii="Times New Roman" w:hAnsi="Times New Roman" w:cs="Times New Roman"/>
          <w:sz w:val="24"/>
          <w:szCs w:val="24"/>
        </w:rPr>
        <w:t>бавляют найденный объем комплексопа за вычетом 0,03 мл. Если после прибавления инд</w:t>
      </w:r>
      <w:r w:rsidR="00775C18" w:rsidRPr="007A4B65">
        <w:rPr>
          <w:rFonts w:ascii="Times New Roman" w:hAnsi="Times New Roman" w:cs="Times New Roman"/>
          <w:sz w:val="24"/>
          <w:szCs w:val="24"/>
        </w:rPr>
        <w:t>и</w:t>
      </w:r>
      <w:r w:rsidR="00775C18" w:rsidRPr="007A4B65">
        <w:rPr>
          <w:rFonts w:ascii="Times New Roman" w:hAnsi="Times New Roman" w:cs="Times New Roman"/>
          <w:sz w:val="24"/>
          <w:szCs w:val="24"/>
        </w:rPr>
        <w:t>катора возникло синее окрашивание, титруют 10 мл рабочего буферного Раствора 0,05 мол/л ра</w:t>
      </w:r>
      <w:r w:rsidR="00775C18" w:rsidRPr="007A4B65">
        <w:rPr>
          <w:rFonts w:ascii="Times New Roman" w:hAnsi="Times New Roman" w:cs="Times New Roman"/>
          <w:sz w:val="24"/>
          <w:szCs w:val="24"/>
        </w:rPr>
        <w:t>с</w:t>
      </w:r>
      <w:r w:rsidR="00775C18" w:rsidRPr="007A4B65">
        <w:rPr>
          <w:rFonts w:ascii="Times New Roman" w:hAnsi="Times New Roman" w:cs="Times New Roman"/>
          <w:sz w:val="24"/>
          <w:szCs w:val="24"/>
        </w:rPr>
        <w:t>твори сульфата магния до появления сине-фиолетового окрашивания. Проведя аналоги</w:t>
      </w:r>
      <w:r w:rsidR="00775C18" w:rsidRPr="007A4B65">
        <w:rPr>
          <w:rFonts w:ascii="Times New Roman" w:hAnsi="Times New Roman" w:cs="Times New Roman"/>
          <w:sz w:val="24"/>
          <w:szCs w:val="24"/>
        </w:rPr>
        <w:t>ч</w:t>
      </w:r>
      <w:r w:rsidR="00775C18" w:rsidRPr="007A4B65">
        <w:rPr>
          <w:rFonts w:ascii="Times New Roman" w:hAnsi="Times New Roman" w:cs="Times New Roman"/>
          <w:sz w:val="24"/>
          <w:szCs w:val="24"/>
        </w:rPr>
        <w:t>ный расчет, прибавит соответствующее к</w:t>
      </w:r>
      <w:r w:rsidR="00775C18" w:rsidRPr="007A4B65">
        <w:rPr>
          <w:rFonts w:ascii="Times New Roman" w:hAnsi="Times New Roman" w:cs="Times New Roman"/>
          <w:sz w:val="24"/>
          <w:szCs w:val="24"/>
        </w:rPr>
        <w:t>о</w:t>
      </w:r>
      <w:r w:rsidR="00775C18" w:rsidRPr="007A4B65">
        <w:rPr>
          <w:rFonts w:ascii="Times New Roman" w:hAnsi="Times New Roman" w:cs="Times New Roman"/>
          <w:sz w:val="24"/>
          <w:szCs w:val="24"/>
        </w:rPr>
        <w:t>личество раствора сульфаты магния к общему объему буферного раствора. 3атем ещё раз проводят проверку. При тщательном приг</w:t>
      </w:r>
      <w:r w:rsidR="00775C18" w:rsidRPr="007A4B65">
        <w:rPr>
          <w:rFonts w:ascii="Times New Roman" w:hAnsi="Times New Roman" w:cs="Times New Roman"/>
          <w:sz w:val="24"/>
          <w:szCs w:val="24"/>
        </w:rPr>
        <w:t>о</w:t>
      </w:r>
      <w:r w:rsidR="00775C18" w:rsidRPr="007A4B65">
        <w:rPr>
          <w:rFonts w:ascii="Times New Roman" w:hAnsi="Times New Roman" w:cs="Times New Roman"/>
          <w:sz w:val="24"/>
          <w:szCs w:val="24"/>
        </w:rPr>
        <w:t>товлении буферного раствора результат такой проверки оказывает, как правило, удовл</w:t>
      </w:r>
      <w:r w:rsidR="00775C18" w:rsidRPr="007A4B65">
        <w:rPr>
          <w:rFonts w:ascii="Times New Roman" w:hAnsi="Times New Roman" w:cs="Times New Roman"/>
          <w:sz w:val="24"/>
          <w:szCs w:val="24"/>
        </w:rPr>
        <w:t>е</w:t>
      </w:r>
      <w:r w:rsidR="00775C18" w:rsidRPr="007A4B65">
        <w:rPr>
          <w:rFonts w:ascii="Times New Roman" w:hAnsi="Times New Roman" w:cs="Times New Roman"/>
          <w:sz w:val="24"/>
          <w:szCs w:val="24"/>
        </w:rPr>
        <w:t>твор</w:t>
      </w:r>
      <w:r w:rsidR="00775C18" w:rsidRPr="007A4B65">
        <w:rPr>
          <w:rFonts w:ascii="Times New Roman" w:hAnsi="Times New Roman" w:cs="Times New Roman"/>
          <w:sz w:val="24"/>
          <w:szCs w:val="24"/>
        </w:rPr>
        <w:t>и</w:t>
      </w:r>
      <w:r w:rsidR="00775C18" w:rsidRPr="007A4B65">
        <w:rPr>
          <w:rFonts w:ascii="Times New Roman" w:hAnsi="Times New Roman" w:cs="Times New Roman"/>
          <w:sz w:val="24"/>
          <w:szCs w:val="24"/>
        </w:rPr>
        <w:t>тельным, поэтому соответствующей добавкой комплексона или сульфита магния можно пренебречь.</w:t>
      </w:r>
    </w:p>
    <w:p w:rsidR="00775C18" w:rsidRPr="007A4B65" w:rsidRDefault="00775C18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Эриохром черный Т. Смешивают 0,5 греактива со 100 г хлорида натрия ч.д.а. и п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лученную смесь хорошо перемешивают.</w:t>
      </w:r>
    </w:p>
    <w:p w:rsidR="00775C18" w:rsidRPr="007A4B65" w:rsidRDefault="00775C18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Комплексов Ш, 0,06 мол/л раствор/ приготовление см. "Кальций"/.</w:t>
      </w:r>
    </w:p>
    <w:p w:rsidR="00775C18" w:rsidRPr="007A4B65" w:rsidRDefault="00775C18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4B65">
        <w:rPr>
          <w:rFonts w:ascii="Times New Roman" w:hAnsi="Times New Roman" w:cs="Times New Roman"/>
          <w:sz w:val="24"/>
          <w:szCs w:val="24"/>
        </w:rPr>
        <w:t>оляная кислота ч.д.а. 0,1 мол/л раствор /приготовление см. "Кисло</w:t>
      </w:r>
      <w:r w:rsidRPr="007A4B65">
        <w:rPr>
          <w:rFonts w:ascii="Times New Roman" w:hAnsi="Times New Roman" w:cs="Times New Roman"/>
          <w:sz w:val="24"/>
          <w:szCs w:val="24"/>
        </w:rPr>
        <w:t>т</w:t>
      </w:r>
      <w:r w:rsidRPr="007A4B65">
        <w:rPr>
          <w:rFonts w:ascii="Times New Roman" w:hAnsi="Times New Roman" w:cs="Times New Roman"/>
          <w:sz w:val="24"/>
          <w:szCs w:val="24"/>
        </w:rPr>
        <w:t>ность"/.</w:t>
      </w:r>
    </w:p>
    <w:p w:rsidR="00775C18" w:rsidRPr="007A4B65" w:rsidRDefault="00775C18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Смешанный индикатор /приготовление  см. "Щелочность"/</w:t>
      </w:r>
    </w:p>
    <w:p w:rsidR="00775C18" w:rsidRPr="007A4B65" w:rsidRDefault="00775C18" w:rsidP="00775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Ход определения</w:t>
      </w:r>
    </w:p>
    <w:p w:rsidR="00775C18" w:rsidRPr="007A4B65" w:rsidRDefault="00775C18" w:rsidP="00AC6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К 100 мл пробы воды общей :жесткостью 1-10 мг-экв/л или к другому объёму, д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веденному до 100 мл. дистиллированной водой, после добавления требуемого объема 0,1 мол/л раствора соляной кислоты для устранения, щ</w:t>
      </w:r>
      <w:r w:rsidRPr="007A4B65">
        <w:rPr>
          <w:rFonts w:ascii="Times New Roman" w:hAnsi="Times New Roman" w:cs="Times New Roman"/>
          <w:sz w:val="24"/>
          <w:szCs w:val="24"/>
        </w:rPr>
        <w:t>е</w:t>
      </w:r>
      <w:r w:rsidRPr="007A4B65">
        <w:rPr>
          <w:rFonts w:ascii="Times New Roman" w:hAnsi="Times New Roman" w:cs="Times New Roman"/>
          <w:sz w:val="24"/>
          <w:szCs w:val="24"/>
        </w:rPr>
        <w:t>лочность прибавляют 10 мл рабочего буферного раствора, что в результате жесткость оказалась в указанных пределах. Затем раствор тщательно пер</w:t>
      </w:r>
      <w:r w:rsidRPr="007A4B65">
        <w:rPr>
          <w:rFonts w:ascii="Times New Roman" w:hAnsi="Times New Roman" w:cs="Times New Roman"/>
          <w:sz w:val="24"/>
          <w:szCs w:val="24"/>
        </w:rPr>
        <w:t>е</w:t>
      </w:r>
      <w:r w:rsidRPr="007A4B65">
        <w:rPr>
          <w:rFonts w:ascii="Times New Roman" w:hAnsi="Times New Roman" w:cs="Times New Roman"/>
          <w:sz w:val="24"/>
          <w:szCs w:val="24"/>
        </w:rPr>
        <w:t xml:space="preserve">мешивают и прибавляют сухую смесь индикатора в количестве </w:t>
      </w:r>
      <w:r w:rsidRPr="007A4B65">
        <w:rPr>
          <w:rFonts w:ascii="Times New Roman" w:hAnsi="Times New Roman" w:cs="Times New Roman"/>
          <w:sz w:val="24"/>
          <w:szCs w:val="24"/>
        </w:rPr>
        <w:lastRenderedPageBreak/>
        <w:t>необходимое для перевода окраски раствора в вишнёво-фиолетовую. Далее титруют 0,05 мол/л титрованным раствором комплексона Ш. до переходе первоначальной окраски в я</w:t>
      </w:r>
      <w:r w:rsidRPr="007A4B65">
        <w:rPr>
          <w:rFonts w:ascii="Times New Roman" w:hAnsi="Times New Roman" w:cs="Times New Roman"/>
          <w:sz w:val="24"/>
          <w:szCs w:val="24"/>
        </w:rPr>
        <w:t>р</w:t>
      </w:r>
      <w:r w:rsidRPr="007A4B65">
        <w:rPr>
          <w:rFonts w:ascii="Times New Roman" w:hAnsi="Times New Roman" w:cs="Times New Roman"/>
          <w:sz w:val="24"/>
          <w:szCs w:val="24"/>
        </w:rPr>
        <w:t>ко-синюю. Изменение окраски индикатора должно быть резким. При неясном переходе окраски определение повторяют методом, описанным в разделе "Метающие влияния", или исходят наменьшего объема пробы, ра</w:t>
      </w:r>
      <w:r w:rsidRPr="007A4B65">
        <w:rPr>
          <w:rFonts w:ascii="Times New Roman" w:hAnsi="Times New Roman" w:cs="Times New Roman"/>
          <w:sz w:val="24"/>
          <w:szCs w:val="24"/>
        </w:rPr>
        <w:t>з</w:t>
      </w:r>
      <w:r w:rsidRPr="007A4B65">
        <w:rPr>
          <w:rFonts w:ascii="Times New Roman" w:hAnsi="Times New Roman" w:cs="Times New Roman"/>
          <w:sz w:val="24"/>
          <w:szCs w:val="24"/>
        </w:rPr>
        <w:t>бавив ее до 100-150 мл.</w:t>
      </w:r>
    </w:p>
    <w:p w:rsidR="00775C18" w:rsidRPr="007A4B65" w:rsidRDefault="00775C18" w:rsidP="00775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Расчет</w:t>
      </w:r>
    </w:p>
    <w:p w:rsidR="00775C18" w:rsidRPr="007A4B65" w:rsidRDefault="00775C18" w:rsidP="00775C1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Общую жесткость /л/ в мг-экв/л вычисляют по формуле</w:t>
      </w:r>
    </w:p>
    <w:p w:rsidR="00775C18" w:rsidRPr="007A4B65" w:rsidRDefault="00775C18" w:rsidP="00775C1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4B65">
        <w:rPr>
          <w:noProof/>
          <w:sz w:val="24"/>
          <w:szCs w:val="24"/>
          <w:lang w:eastAsia="ru-RU"/>
        </w:rPr>
        <w:drawing>
          <wp:inline distT="0" distB="0" distL="0" distR="0" wp14:anchorId="55DA34D2" wp14:editId="2F294424">
            <wp:extent cx="4469203" cy="605642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2357" cy="60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C18" w:rsidRPr="007A4B65" w:rsidRDefault="00775C18" w:rsidP="00775C1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где а - объем 0,05 мол/л раствора комплексона, израсходованного на титрование, в мл;</w:t>
      </w:r>
    </w:p>
    <w:p w:rsidR="00775C18" w:rsidRPr="007A4B65" w:rsidRDefault="00775C18" w:rsidP="00775C1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75C18" w:rsidRPr="007A4B65" w:rsidRDefault="00775C18" w:rsidP="00775C1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к - поправочный коэффициент для приведения концентрации раствора комплексона Ш к точно 0,05 мол/л;</w:t>
      </w:r>
    </w:p>
    <w:p w:rsidR="00775C18" w:rsidRPr="007A4B65" w:rsidRDefault="00775C18" w:rsidP="00775C1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8 - число грамм-эквивалентов жесткости, соответствующее 1 молю комплексона Ш;</w:t>
      </w:r>
    </w:p>
    <w:p w:rsidR="009B4229" w:rsidRPr="007A4B65" w:rsidRDefault="00775C18" w:rsidP="00775C1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A4B65">
        <w:rPr>
          <w:rFonts w:ascii="Times New Roman" w:hAnsi="Times New Roman" w:cs="Times New Roman"/>
          <w:sz w:val="24"/>
          <w:szCs w:val="24"/>
        </w:rPr>
        <w:t xml:space="preserve"> - объем пробы, взятой для определения, в мл.</w:t>
      </w:r>
    </w:p>
    <w:p w:rsidR="00775C18" w:rsidRPr="007A4B65" w:rsidRDefault="00775C18" w:rsidP="00775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Округление результатов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75C18" w:rsidRPr="007A4B65" w:rsidTr="00775C18">
        <w:tc>
          <w:tcPr>
            <w:tcW w:w="1914" w:type="dxa"/>
            <w:vAlign w:val="center"/>
          </w:tcPr>
          <w:p w:rsidR="00775C18" w:rsidRPr="007A4B65" w:rsidRDefault="00775C18" w:rsidP="0077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65">
              <w:rPr>
                <w:rFonts w:ascii="Times New Roman" w:hAnsi="Times New Roman" w:cs="Times New Roman"/>
                <w:sz w:val="24"/>
                <w:szCs w:val="24"/>
              </w:rPr>
              <w:t>Диапазон в мг-экв/л</w:t>
            </w:r>
          </w:p>
        </w:tc>
        <w:tc>
          <w:tcPr>
            <w:tcW w:w="1914" w:type="dxa"/>
            <w:vAlign w:val="center"/>
          </w:tcPr>
          <w:p w:rsidR="00775C18" w:rsidRPr="007A4B65" w:rsidRDefault="00775C18" w:rsidP="0077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65">
              <w:rPr>
                <w:rFonts w:ascii="Times New Roman" w:hAnsi="Times New Roman" w:cs="Times New Roman"/>
                <w:sz w:val="24"/>
                <w:szCs w:val="24"/>
              </w:rPr>
              <w:t>0,05-1,00</w:t>
            </w:r>
          </w:p>
        </w:tc>
        <w:tc>
          <w:tcPr>
            <w:tcW w:w="1914" w:type="dxa"/>
            <w:vAlign w:val="center"/>
          </w:tcPr>
          <w:p w:rsidR="00775C18" w:rsidRPr="007A4B65" w:rsidRDefault="00775C18" w:rsidP="0077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65">
              <w:rPr>
                <w:rFonts w:ascii="Times New Roman" w:hAnsi="Times New Roman" w:cs="Times New Roman"/>
                <w:sz w:val="24"/>
                <w:szCs w:val="24"/>
              </w:rPr>
              <w:t>1,00-2,00</w:t>
            </w:r>
          </w:p>
        </w:tc>
        <w:tc>
          <w:tcPr>
            <w:tcW w:w="1914" w:type="dxa"/>
            <w:vAlign w:val="center"/>
          </w:tcPr>
          <w:p w:rsidR="00775C18" w:rsidRPr="007A4B65" w:rsidRDefault="00775C18" w:rsidP="0077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65">
              <w:rPr>
                <w:rFonts w:ascii="Times New Roman" w:hAnsi="Times New Roman" w:cs="Times New Roman"/>
                <w:sz w:val="24"/>
                <w:szCs w:val="24"/>
              </w:rPr>
              <w:t>2,00-5,00</w:t>
            </w:r>
          </w:p>
        </w:tc>
        <w:tc>
          <w:tcPr>
            <w:tcW w:w="1915" w:type="dxa"/>
            <w:vAlign w:val="center"/>
          </w:tcPr>
          <w:p w:rsidR="00775C18" w:rsidRPr="007A4B65" w:rsidRDefault="00775C18" w:rsidP="0077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65">
              <w:rPr>
                <w:rFonts w:ascii="Times New Roman" w:hAnsi="Times New Roman" w:cs="Times New Roman"/>
                <w:sz w:val="24"/>
                <w:szCs w:val="24"/>
              </w:rPr>
              <w:t>5,00-10,00</w:t>
            </w:r>
          </w:p>
        </w:tc>
      </w:tr>
      <w:tr w:rsidR="00775C18" w:rsidRPr="007A4B65" w:rsidTr="00775C18">
        <w:tc>
          <w:tcPr>
            <w:tcW w:w="1914" w:type="dxa"/>
            <w:vAlign w:val="center"/>
          </w:tcPr>
          <w:p w:rsidR="00775C18" w:rsidRPr="007A4B65" w:rsidRDefault="00775C18" w:rsidP="0077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65">
              <w:rPr>
                <w:rFonts w:ascii="Times New Roman" w:hAnsi="Times New Roman" w:cs="Times New Roman"/>
                <w:sz w:val="24"/>
                <w:szCs w:val="24"/>
              </w:rPr>
              <w:t>Округление в мг-экв/л</w:t>
            </w:r>
          </w:p>
        </w:tc>
        <w:tc>
          <w:tcPr>
            <w:tcW w:w="1914" w:type="dxa"/>
            <w:vAlign w:val="center"/>
          </w:tcPr>
          <w:p w:rsidR="00775C18" w:rsidRPr="007A4B65" w:rsidRDefault="00775C18" w:rsidP="0077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6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914" w:type="dxa"/>
            <w:vAlign w:val="center"/>
          </w:tcPr>
          <w:p w:rsidR="00775C18" w:rsidRPr="007A4B65" w:rsidRDefault="00775C18" w:rsidP="0077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6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914" w:type="dxa"/>
            <w:vAlign w:val="center"/>
          </w:tcPr>
          <w:p w:rsidR="00775C18" w:rsidRPr="007A4B65" w:rsidRDefault="00775C18" w:rsidP="0077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6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15" w:type="dxa"/>
            <w:vAlign w:val="center"/>
          </w:tcPr>
          <w:p w:rsidR="00775C18" w:rsidRPr="007A4B65" w:rsidRDefault="00775C18" w:rsidP="0077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6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75C18" w:rsidRPr="007A4B65" w:rsidRDefault="00775C18" w:rsidP="00775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2F" w:rsidRPr="007A4B65" w:rsidRDefault="00E7032F" w:rsidP="00775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2F" w:rsidRPr="007A4B65" w:rsidRDefault="00E7032F" w:rsidP="00775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2F" w:rsidRPr="007A4B65" w:rsidRDefault="00E7032F" w:rsidP="00775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2F" w:rsidRPr="007A4B65" w:rsidRDefault="00E7032F" w:rsidP="00775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2F" w:rsidRPr="007A4B65" w:rsidRDefault="00E7032F" w:rsidP="00775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2F" w:rsidRPr="007A4B65" w:rsidRDefault="00E7032F" w:rsidP="00775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2F" w:rsidRPr="007A4B65" w:rsidRDefault="00E7032F" w:rsidP="00775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2F" w:rsidRPr="007A4B65" w:rsidRDefault="00E7032F" w:rsidP="00775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2F" w:rsidRPr="007A4B65" w:rsidRDefault="00E7032F" w:rsidP="00775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2F" w:rsidRPr="007A4B65" w:rsidRDefault="00E7032F" w:rsidP="007A4B65">
      <w:pPr>
        <w:pStyle w:val="1"/>
        <w:rPr>
          <w:szCs w:val="24"/>
        </w:rPr>
      </w:pPr>
      <w:bookmarkStart w:id="3" w:name="_Toc332379324"/>
      <w:r w:rsidRPr="007A4B65">
        <w:rPr>
          <w:szCs w:val="24"/>
        </w:rPr>
        <w:lastRenderedPageBreak/>
        <w:t>РАСЧЕТ КАРБОНАТНОЙ И НЕКАРБОНАТНОЙ ЖЕСТКОСТИ ВОДЫ</w:t>
      </w:r>
      <w:bookmarkEnd w:id="3"/>
    </w:p>
    <w:p w:rsidR="00E7032F" w:rsidRPr="007A4B65" w:rsidRDefault="00E7032F" w:rsidP="00AC6A67">
      <w:pPr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Для вычисления карбонатной жёсткости используют результаты определения щёлочн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сти. В пробах, которые содержат большие количества катионов в щелочных металлов и в которых часть гидрокарбонатных и карбонатных ионов связаны с этими металлами вел</w:t>
      </w:r>
      <w:r w:rsidRPr="007A4B65">
        <w:rPr>
          <w:rFonts w:ascii="Times New Roman" w:hAnsi="Times New Roman" w:cs="Times New Roman"/>
          <w:sz w:val="24"/>
          <w:szCs w:val="24"/>
        </w:rPr>
        <w:t>и</w:t>
      </w:r>
      <w:r w:rsidRPr="007A4B65">
        <w:rPr>
          <w:rFonts w:ascii="Times New Roman" w:hAnsi="Times New Roman" w:cs="Times New Roman"/>
          <w:sz w:val="24"/>
          <w:szCs w:val="24"/>
        </w:rPr>
        <w:t>чина, вычисления по щёлочности, не соответствует карбонатной жесткости . В этих сл</w:t>
      </w:r>
      <w:r w:rsidRPr="007A4B65">
        <w:rPr>
          <w:rFonts w:ascii="Times New Roman" w:hAnsi="Times New Roman" w:cs="Times New Roman"/>
          <w:sz w:val="24"/>
          <w:szCs w:val="24"/>
        </w:rPr>
        <w:t>у</w:t>
      </w:r>
      <w:r w:rsidRPr="007A4B65">
        <w:rPr>
          <w:rFonts w:ascii="Times New Roman" w:hAnsi="Times New Roman" w:cs="Times New Roman"/>
          <w:sz w:val="24"/>
          <w:szCs w:val="24"/>
        </w:rPr>
        <w:t>чаях определяют только общую жёсткость.</w:t>
      </w:r>
    </w:p>
    <w:p w:rsidR="00E7032F" w:rsidRPr="007A4B65" w:rsidRDefault="00E7032F" w:rsidP="00AC6A67">
      <w:pPr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При анализе вод, щелочность которых вызвана не только НСО3  и СО -ионами, но и ани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нами других слабодислоцированныхкислот результате расчета будет ошибка, пропорци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нальная концентрации этих веществ.</w:t>
      </w:r>
    </w:p>
    <w:p w:rsidR="00E7032F" w:rsidRPr="007A4B65" w:rsidRDefault="00E7032F" w:rsidP="00AC6A67">
      <w:pPr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Карбонатная жесткость /в мг-экв/л/ равна m; карбонатная жесткость /в °Н/ равна m 8,8 /где m - общая щёлочности в мг-экв/л/</w:t>
      </w:r>
    </w:p>
    <w:p w:rsidR="00E7032F" w:rsidRPr="007A4B65" w:rsidRDefault="00E7032F" w:rsidP="00AC6A67">
      <w:pPr>
        <w:jc w:val="both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Некарбонатная жесткость равна разнице между общей жесткостью и карбонатной жестк</w:t>
      </w:r>
      <w:r w:rsidRPr="007A4B65">
        <w:rPr>
          <w:rFonts w:ascii="Times New Roman" w:hAnsi="Times New Roman" w:cs="Times New Roman"/>
          <w:sz w:val="24"/>
          <w:szCs w:val="24"/>
        </w:rPr>
        <w:t>о</w:t>
      </w:r>
      <w:r w:rsidRPr="007A4B65">
        <w:rPr>
          <w:rFonts w:ascii="Times New Roman" w:hAnsi="Times New Roman" w:cs="Times New Roman"/>
          <w:sz w:val="24"/>
          <w:szCs w:val="24"/>
        </w:rPr>
        <w:t>стью.</w:t>
      </w:r>
    </w:p>
    <w:p w:rsidR="00E7032F" w:rsidRPr="007A4B65" w:rsidRDefault="00E7032F" w:rsidP="00E7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Округление результатов</w:t>
      </w:r>
    </w:p>
    <w:p w:rsidR="00E7032F" w:rsidRPr="007A4B65" w:rsidRDefault="00E7032F" w:rsidP="00E7032F">
      <w:pPr>
        <w:rPr>
          <w:rFonts w:ascii="Times New Roman" w:hAnsi="Times New Roman" w:cs="Times New Roman"/>
          <w:sz w:val="24"/>
          <w:szCs w:val="24"/>
        </w:rPr>
      </w:pPr>
      <w:r w:rsidRPr="007A4B65">
        <w:rPr>
          <w:rFonts w:ascii="Times New Roman" w:hAnsi="Times New Roman" w:cs="Times New Roman"/>
          <w:sz w:val="24"/>
          <w:szCs w:val="24"/>
        </w:rPr>
        <w:t>Результаты определения карбонатной и некарбонатной жесткости.округляют так же? как и при комплексонометрическом определение общей жесткости.</w:t>
      </w:r>
    </w:p>
    <w:sectPr w:rsidR="00E7032F" w:rsidRPr="007A4B65" w:rsidSect="00DD5AD0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71" w:rsidRDefault="00056C71" w:rsidP="00DD5AD0">
      <w:pPr>
        <w:spacing w:after="0" w:line="240" w:lineRule="auto"/>
      </w:pPr>
      <w:r>
        <w:separator/>
      </w:r>
    </w:p>
  </w:endnote>
  <w:endnote w:type="continuationSeparator" w:id="0">
    <w:p w:rsidR="00056C71" w:rsidRDefault="00056C71" w:rsidP="00DD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44596"/>
      <w:docPartObj>
        <w:docPartGallery w:val="Page Numbers (Bottom of Page)"/>
        <w:docPartUnique/>
      </w:docPartObj>
    </w:sdtPr>
    <w:sdtContent>
      <w:p w:rsidR="00DD5AD0" w:rsidRDefault="00DD5A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5AD0" w:rsidRDefault="00DD5A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71" w:rsidRDefault="00056C71" w:rsidP="00DD5AD0">
      <w:pPr>
        <w:spacing w:after="0" w:line="240" w:lineRule="auto"/>
      </w:pPr>
      <w:r>
        <w:separator/>
      </w:r>
    </w:p>
  </w:footnote>
  <w:footnote w:type="continuationSeparator" w:id="0">
    <w:p w:rsidR="00056C71" w:rsidRDefault="00056C71" w:rsidP="00DD5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432"/>
    <w:rsid w:val="00013A43"/>
    <w:rsid w:val="00056C71"/>
    <w:rsid w:val="001137D6"/>
    <w:rsid w:val="00130F8D"/>
    <w:rsid w:val="00165521"/>
    <w:rsid w:val="0018091A"/>
    <w:rsid w:val="002B43A9"/>
    <w:rsid w:val="002C2432"/>
    <w:rsid w:val="00325BF3"/>
    <w:rsid w:val="00414482"/>
    <w:rsid w:val="00452BD5"/>
    <w:rsid w:val="004F28EE"/>
    <w:rsid w:val="0056650B"/>
    <w:rsid w:val="00601D42"/>
    <w:rsid w:val="00704AF0"/>
    <w:rsid w:val="0074137E"/>
    <w:rsid w:val="00775C18"/>
    <w:rsid w:val="00776A85"/>
    <w:rsid w:val="007A4B65"/>
    <w:rsid w:val="0080302C"/>
    <w:rsid w:val="009B4229"/>
    <w:rsid w:val="009C626A"/>
    <w:rsid w:val="00A84CAD"/>
    <w:rsid w:val="00AA4E47"/>
    <w:rsid w:val="00AC6A67"/>
    <w:rsid w:val="00AF54A6"/>
    <w:rsid w:val="00B17F76"/>
    <w:rsid w:val="00B45CFE"/>
    <w:rsid w:val="00BF7E28"/>
    <w:rsid w:val="00C11C18"/>
    <w:rsid w:val="00C20771"/>
    <w:rsid w:val="00C534C1"/>
    <w:rsid w:val="00CF50C4"/>
    <w:rsid w:val="00DD5AD0"/>
    <w:rsid w:val="00E417B5"/>
    <w:rsid w:val="00E7032F"/>
    <w:rsid w:val="00FA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6A"/>
  </w:style>
  <w:style w:type="paragraph" w:styleId="1">
    <w:name w:val="heading 1"/>
    <w:basedOn w:val="a"/>
    <w:next w:val="a"/>
    <w:link w:val="10"/>
    <w:uiPriority w:val="9"/>
    <w:qFormat/>
    <w:rsid w:val="007A4B6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C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4B65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7A4B6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A4B65"/>
    <w:pPr>
      <w:spacing w:after="100"/>
    </w:pPr>
  </w:style>
  <w:style w:type="character" w:styleId="a7">
    <w:name w:val="Hyperlink"/>
    <w:basedOn w:val="a0"/>
    <w:uiPriority w:val="99"/>
    <w:unhideWhenUsed/>
    <w:rsid w:val="007A4B6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D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AD0"/>
  </w:style>
  <w:style w:type="paragraph" w:styleId="aa">
    <w:name w:val="footer"/>
    <w:basedOn w:val="a"/>
    <w:link w:val="ab"/>
    <w:uiPriority w:val="99"/>
    <w:unhideWhenUsed/>
    <w:rsid w:val="00DD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5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C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2416-3201-4B0F-8B33-C2DFF332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 </cp:lastModifiedBy>
  <cp:revision>8</cp:revision>
  <dcterms:created xsi:type="dcterms:W3CDTF">2012-07-12T12:59:00Z</dcterms:created>
  <dcterms:modified xsi:type="dcterms:W3CDTF">2012-08-10T11:27:00Z</dcterms:modified>
</cp:coreProperties>
</file>