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2" w:rsidRPr="004D1C82" w:rsidRDefault="004D1C82" w:rsidP="004D1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4D1C82" w:rsidRPr="004D1C82" w:rsidRDefault="004D1C82" w:rsidP="004D1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сылка на Пост. Правительства РТ О Программе безопасности продовольственной продукции РТ на 2019-2023 годы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</w:t>
        </w:r>
      </w:hyperlink>
    </w:p>
    <w:p w:rsidR="004D1C82" w:rsidRPr="004D1C82" w:rsidRDefault="004D1C82" w:rsidP="004D1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4D1C82" w:rsidRPr="004D1C82" w:rsidRDefault="004D1C82" w:rsidP="004D1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2018 года, №520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C30VGPKC"/>
      <w:bookmarkEnd w:id="0"/>
      <w:r w:rsidRPr="004D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БЕЗОПАСНОСТИ ПРОДОВОЛЬСТВЕННОЙ ПРОДУКЦИИ РЕСПУБЛИКИ ТАДЖИКИСТАН НА 2019-2023 ГОДЫ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C30VH1C5"/>
      <w:bookmarkEnd w:id="1"/>
      <w:r w:rsidRPr="004D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безопасности продовольственной продукции Республики Таджикистан на 2019-2023 годы (далее - Программа) является отраслевой программой, разработанной на основании </w:t>
      </w:r>
      <w:hyperlink r:id="rId6" w:anchor="A4WL0LSUM0" w:tooltip="Ссылка на Конс. Закон РТ О Правительстве РТ :: Статья 13. Общие полномочия Правительства Республики Таджикистан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Правительства Республики Таджикистан", Национальной стратегии развития на период до 2030 года и пункта 45 План мероприятий о выполнении задач, поставленных посланием Президента Республики Таджикистан от 22 декабря 2017 года "О направлениях внутренней и внешней политики Республики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Таджикистан", утвержденным распоряжением Президента Республики Таджикистан от 29 декабря 2017 года, </w:t>
      </w:r>
      <w:hyperlink r:id="rId7" w:tooltip="Ссылка на Распоряжение Президента РТ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№АП-984.</w:t>
        </w:r>
      </w:hyperlink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Безопасность продовольственной продукции является важной частью национальной и экономической безопасности страны, а обеспечение продовольственной безопасности зависит от общей динамики экономического и социального развития страны. Продовольственная безопасность считается как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государством способность удовлетворения потребностей в продовольствии на уровне, обеспечивающем нормальную жизнь населения.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Вопросы безопасности продовольственных продуктов имеют тесную связь с политикой государства, направленной на устойчивое развитие, а переход к устойчивому развитию в целом, включает обсуждение вопросов экономического развития в контексте человеческих ценностей и эффективного использования природных ресурсов.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Главными целями разработки Программы являются: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обычных средств управления вопросами обеспечения продовольственной безопасности в стране;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целевых тенденций обеспечения безопасности продовольственной продукции, направленных на повышении качества продуктов питания и здоровья населения;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вопросов обеспечения безопасности продовольственной продукции с использованием концепции продовольственной безопасности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основывается на мировой практике на четырех элементах: наличие продовольствия, их доступность, использование и устойчивость.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учётом национальных интересов, особенности развития сельскохозяйственной отрасли, уровень зависимости состояния безопасности продовольственной продукции от внешних рынков, Программа включает в себя четыре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направления: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обеспечения продовольственной продукции в стране;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реальный доступ к продовольственной продукции;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производства, качества, ассортимент и питательность продовольственной продукции;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проверок и мониторинг безопасности продовольственной продукции.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Состояние обеспечения продовольственной продукции означает соотношение количества и качества безопасного и достаточного продовольствия на каждом периоде времени. Другими словами, в любом периоде времени в стране должно быть достаточное количество продовольствия.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Отражается анализ и вопросы состояния обеспечения продовольственной продукции в стране во взаимосвязи со следующими факторами: собственное производство, запасы продовольствия, импорт и экспорт, продовольственная помощь.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этом разделе отражаются вопросы внутреннего производства в их взаимосвязи с состоянием природных ресурсов (земля, пастбища, водоснабжения и т.д.).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Внешнеторговая политика в области экспорта и импорта продовольственной продукции направлена на развитие производства импортозамещающей продукции, увеличение экспорта отечественной продовольственной продукции (свежие фрукты, сухофрукты, овощи, бахчевые продукции, хлопок и продукции изготовленные из хлопка) и стабильность перевозки необходимой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муки и пшеницы.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Понятие реальной доступности к продовольствию означает, что все семьи обладают достаточными средствами для получения необходимого продовольствия и обеспечения полноценной пищи. Доступность зависит от уровня семейных ресурсов (наличие денег, работы и знаний), а также цен на продовольствия.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этом Программе анализы, перспективы и направления улучшения доступности к продовольствию во взаимосвязи с государственной макроэкономической политикой, антимонопольного регулирования и политики социальной защитв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также учтены другие факторы доступности продовольствия в связи с изменением климата и эффективного использования природных ресурсов.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Программе изложены вопросы обеспечения развития производства, качества, ассортимент и питательность продовольственной продукции, так как их значение увеличивается с каждым днем. Аналитические разъяснения и приоритеты в этом аспекте направлены на развитие производства, улучшение качества и безопасности продовольственной продукции.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Программа охватывает вопросы обеспечения инспекции и контроля безопасности продовольственной продукции от производства до их потребления. Состояние государственного контроля безопасности импортируемой продовольственной продукции подвергается отдельному анализу. Также уделено особое внимание анализу информационного обеспечения и доступности к ним, рассматривается состояние лабораторий и системы сертификации.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C30VMWP3"/>
      <w:bookmarkEnd w:id="2"/>
      <w:r w:rsidRPr="004D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СОСТОЯНИЕ ОБЕСПЕЧЕНИЯ БЕЗОПАСНОСТИ ПРОДОВОЛЬСТВЕННОЙ ПРОДУКЦИИ, ПРИОРИТЕТНЫЕ НАПРАВЛЕНИЯ И ОСНОВНЫЕ ФУНКЦИИ ПРОГРАММЫ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C30VNB3S"/>
      <w:bookmarkEnd w:id="3"/>
      <w:r w:rsidRPr="004D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§1. Реальное состояние обеспечения продовольствия в стране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соответствии с положениями Закона Республики Таджикистан "О продовольственной безопасности" продовольственная безопасность обеспечивается путем организации эффективного сельскохозяйственного производства, целевого использования и управления природными ресурсами, обеспечения населения продовольствием и промышленности сельскохозяйственным сырьём.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Объём отечественного производства продовольственной продукции зависит от климата, основных природных ресурсов, уровня, эффективности и организации производственного процесса.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условия Республики Таджикистан примерно во всех регионах страны имеет ряд рисков для регулярного производства продукции - засухи, продолжительные осадки, ранние заморозки и другие природные стихийные бедствия мешают нормальному функционированию сельскохозяйственной отрасли.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На основе прогнозов изменения климата в Республике Таджикистан, также будет отмечаться регулярный рост температуры воздуха (до 2050 года) и повышение уровня воды в реках, впоследствии возникает снижение уровня воды в реках и водоёмах.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Республика Таджикистан обладает достаточными водными ресурсами, средний природный водосток речных вод составляет 47,2 км3, в том числе в период роста 35 км3 (74%). Неравенства сезонных и территориальных распределений, особенности изменчивости рек создают препятствия эффективному использованию водных ресурсов.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этом контексте необходимо обеспечить развитие и сохранение ирригационной системы продовольственной продукции. В нынешних условиях ирригационная система страны не может обеспечить оросительной водой необходимую площадь земель в сезон вегетационного периода сельскохозяйственных культур. Этот фактор создает множество рисков для производственной системы, особенно в условиях засухи воздействие этого фактора значителен.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Согласно отчетам земельного фонда, которая ежегодно разрабатывается Государственным комитетом по земельному управлению и геодезии Республики Таджикистан, общая площадь орошаемых земель на состояние 1 января 2018 года составляет 758842 га. Ежегодные государственные инвестиции недостаточны для восстановления земель, кроме того по разным причинам наблюдается неиспользование обрабатываемых земель. Площадь земель, подвергшихся водной и ветряной эрозии составляет 35000 гектаров или 5,3 процента от общей площади посевных земель. Общая площадь пастбищ в Республике Таджикистан составляет 3,8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гектаров, ежегодно 4 процента от них подвергаются эрозии на разных уровнях.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Независимо от принятых мер, до сих пор продолжается неэффективное, нерациональное и неполное использование посевных земель и этот процесс способствует сокращению общих посевных площадей. В период 2010-2017 годов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обрабатываемых земель сократилась на 14312 га. Площадь орошаемых земель на человека (постоянное население) от 0,10 га - в 2010 году достиг 0,09 га - в 2018 году. Республика Таджикистан включена в ряд тех стран, в которых показатель обеспеченности обрабатываемой орошаемой земли на душу населения находится на низком уровне.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Объём и устойчивость развития производства продовольственной продукции в республике считается одним из факторов, обеспечивающих продовольственную безопасность в стране, эффективность и устойчивость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сельскохозяйственной отрасли, а также эффективное использование посевных земель в стране играет важную роль в нем.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статистическим данным общее количество населения Республики Таджикистан на состояние 1 апреля 2018 года составляет 8 973,6 тыс. человек, в связи с постоянным ростом населения страны и высокого уровня рождаемости из года в год растет спрос на продовольственную продукцию.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совокупной таблице минимума продукций питания для основных социально-демографических групп населения в Республике Таджикистан, утвержденных Постановлением Правительства Республики Таджикистан от 29 декабря 2012 года, №775, нормы потребительской корзины населения на человека в год рекомендуется: хлебная продукция145,2 кг, картофель - 64,8, овощи и бахчевые - 73,2, фрукты - 28,8, сахар14,4, мясная продукция - 25,2 процента, рыба - 5,8 и молочная продукция36,9, яйца - 194,4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штук, масла - 16 и другие продукты (соль, чай,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) - 0,36 кг.</w:t>
      </w: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10"/>
          <w:szCs w:val="10"/>
        </w:rPr>
      </w:pP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10"/>
          <w:szCs w:val="10"/>
        </w:rPr>
      </w:pP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10"/>
          <w:szCs w:val="10"/>
        </w:rPr>
      </w:pP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10"/>
          <w:szCs w:val="10"/>
        </w:rPr>
      </w:pP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</w:rPr>
      </w:pPr>
      <w:r w:rsidRPr="00804D35">
        <w:rPr>
          <w:rFonts w:ascii="Times New Roman Tj" w:eastAsia="Calibri" w:hAnsi="Times New Roman Tj" w:cs="Times New Roman"/>
          <w:b/>
          <w:sz w:val="28"/>
        </w:rPr>
        <w:t xml:space="preserve">Потребление </w:t>
      </w: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</w:rPr>
      </w:pPr>
      <w:r w:rsidRPr="00804D35">
        <w:rPr>
          <w:rFonts w:ascii="Times New Roman Tj" w:eastAsia="Calibri" w:hAnsi="Times New Roman Tj" w:cs="Times New Roman"/>
          <w:b/>
          <w:sz w:val="28"/>
        </w:rPr>
        <w:t>продовольственных продуктов на душу населения</w:t>
      </w: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</w:rPr>
      </w:pPr>
      <w:r w:rsidRPr="00804D35">
        <w:rPr>
          <w:rFonts w:ascii="Times New Roman Tj" w:eastAsia="Calibri" w:hAnsi="Times New Roman Tj" w:cs="Times New Roman"/>
          <w:sz w:val="28"/>
        </w:rPr>
        <w:t xml:space="preserve">                                                                                                            таблица 1</w:t>
      </w: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</w:rPr>
      </w:pPr>
      <w:r w:rsidRPr="00804D35">
        <w:rPr>
          <w:rFonts w:ascii="Times New Roman Tj" w:eastAsia="Calibri" w:hAnsi="Times New Roman Tj" w:cs="Times New Roman"/>
          <w:i/>
          <w:sz w:val="28"/>
        </w:rPr>
        <w:t xml:space="preserve">         </w:t>
      </w:r>
      <w:r w:rsidRPr="00804D35">
        <w:rPr>
          <w:rFonts w:ascii="Times New Roman Tj" w:eastAsia="Calibri" w:hAnsi="Times New Roman Tj" w:cs="Times New Roman"/>
          <w:sz w:val="28"/>
        </w:rPr>
        <w:t xml:space="preserve">                                                                      (на душу населения, </w:t>
      </w:r>
      <w:proofErr w:type="gramStart"/>
      <w:r w:rsidRPr="00804D35">
        <w:rPr>
          <w:rFonts w:ascii="Times New Roman Tj" w:eastAsia="Calibri" w:hAnsi="Times New Roman Tj" w:cs="Times New Roman"/>
          <w:sz w:val="28"/>
        </w:rPr>
        <w:t>кг</w:t>
      </w:r>
      <w:proofErr w:type="gramEnd"/>
      <w:r w:rsidRPr="00804D35">
        <w:rPr>
          <w:rFonts w:ascii="Times New Roman Tj" w:eastAsia="Calibri" w:hAnsi="Times New Roman Tj" w:cs="Times New Roman"/>
          <w:sz w:val="28"/>
        </w:rPr>
        <w:t xml:space="preserve"> в год) </w:t>
      </w:r>
    </w:p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277"/>
        <w:gridCol w:w="1963"/>
        <w:gridCol w:w="1692"/>
        <w:gridCol w:w="1824"/>
      </w:tblGrid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</w:pPr>
          </w:p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</w:rPr>
            </w:pPr>
            <w:r w:rsidRPr="00804D35">
              <w:rPr>
                <w:rFonts w:ascii="Times New Roman Tj" w:eastAsia="Calibri" w:hAnsi="Times New Roman Tj" w:cs="Times New Roman"/>
                <w:sz w:val="28"/>
              </w:rPr>
              <w:t>№</w:t>
            </w:r>
          </w:p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Список продуктов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en-US"/>
              </w:rPr>
            </w:pPr>
          </w:p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Минимальный расход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Объем потребления в 2017 году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Разница</w:t>
            </w:r>
            <w:proofErr w:type="gramStart"/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Хлебная продукция (мука)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145,2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161,4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+ 16,2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Картофель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64,8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42,5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- 22,3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lang w:val="tg-Cyrl-TJ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Овощи и бахчевые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73,2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88,9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+ 15,7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Фрукты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28,8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33,2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+ 4,4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lang w:val="tg-Cyrl-TJ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  <w:lang w:val="tg-Cyrl-TJ"/>
              </w:rPr>
              <w:t>Сахар-рафинад и сахар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14,4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16,0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+1,6 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Мясо и мясная продукция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25,2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14,4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- 10,8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Молоко и молочные продукты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36,9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58,0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+21,1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Яйцо (</w:t>
            </w:r>
            <w:r w:rsidRPr="00804D35">
              <w:rPr>
                <w:rFonts w:ascii="Times New Roman Tj" w:eastAsia="Calibri" w:hAnsi="Times New Roman Tj" w:cs="Times New Roman"/>
                <w:sz w:val="24"/>
                <w:lang w:val="tg-Cyrl-TJ"/>
              </w:rPr>
              <w:t>штука</w:t>
            </w:r>
            <w:r w:rsidRPr="00804D35">
              <w:rPr>
                <w:rFonts w:ascii="Times New Roman Tj" w:eastAsia="Calibri" w:hAnsi="Times New Roman Tj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194,4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76,0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- 118,4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Растительное масло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18,2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+ 2,2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Рыба и рыбная продукция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0,36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0,5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+ 0,14</w:t>
            </w:r>
          </w:p>
        </w:tc>
      </w:tr>
      <w:tr w:rsidR="00804D35" w:rsidRPr="00804D35" w:rsidTr="00804D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804D35">
              <w:rPr>
                <w:rFonts w:ascii="Times New Roman Tj" w:eastAsia="Calibri" w:hAnsi="Times New Roman Tj" w:cs="Times New Roman"/>
                <w:sz w:val="24"/>
              </w:rPr>
              <w:t>Соль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1,78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6,57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35" w:rsidRPr="00804D35" w:rsidRDefault="00804D35" w:rsidP="00804D35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804D35">
              <w:rPr>
                <w:rFonts w:ascii="Times New Roman Tj" w:eastAsia="Times New Roman" w:hAnsi="Times New Roman Tj" w:cs="Times New Roman"/>
                <w:sz w:val="24"/>
                <w:szCs w:val="24"/>
              </w:rPr>
              <w:t>+4,79</w:t>
            </w:r>
          </w:p>
        </w:tc>
      </w:tr>
    </w:tbl>
    <w:p w:rsidR="00804D35" w:rsidRPr="00804D35" w:rsidRDefault="00804D35" w:rsidP="00804D35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6"/>
          <w:szCs w:val="6"/>
        </w:rPr>
      </w:pPr>
    </w:p>
    <w:p w:rsidR="00804D35" w:rsidRPr="004D1C82" w:rsidRDefault="00804D35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Согласно статистическим данным, данные нормы не соблюдались в республике, которая в первую очередь зависит от уровня обеспечения этих продуктов, национальной особенности страны и ее покупательной способности.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В 2017 году в республике во всех формах хозяйств произведено1447680 тонн зерновых (в том числе пшеницы - 900 216 тонн),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хлопкасырца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- 386 508, картофеля - 782 892, овощей - 1 859 073, бахчевых - 631 239, фруктов - 404 034 и виноград - 228 303 тонны, что по сравнению с 2016 годом увеличены: зерновых - 0,8 процента, хлопка-сырца - 35,8, овощи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,3, бахчевые - 6,2, фрукты - 11 и виноград - 6,3 процента, сокращено производство картофеля-на 12,8 процента.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состоянию на 1 января 2018 года во всех категориях хозяйств поголовье крупного рогатого скота составила 2 315,3 тыс. голов, что по сравнению с аналогичным периодом прошлого года увеличилось на 38,4 тыс. голов или на 1,7 процента. В тот же период поголовье овец и коз составляла 5576,4 тыс. голов, увеличившись на 152,1 тыс. голов или на 2,8 процента. Следует отметить, что 93 процента поголовья крупного рогатого скота и 81,9 процента поголовья овец и коз относятся к частным хозяйствам населения.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Основными показателями производства продукции животноводства в республике составляют: </w:t>
      </w:r>
    </w:p>
    <w:p w:rsidR="004E45A0" w:rsidRPr="004E45A0" w:rsidRDefault="004E45A0" w:rsidP="004E45A0">
      <w:pPr>
        <w:spacing w:after="0" w:line="240" w:lineRule="auto"/>
        <w:ind w:firstLine="567"/>
        <w:jc w:val="right"/>
        <w:rPr>
          <w:rFonts w:ascii="Times New Roman Tj" w:eastAsia="Calibri" w:hAnsi="Times New Roman Tj" w:cs="Times New Roman"/>
          <w:sz w:val="28"/>
        </w:rPr>
      </w:pPr>
      <w:r w:rsidRPr="004E45A0">
        <w:rPr>
          <w:rFonts w:ascii="Times New Roman Tj" w:eastAsia="Calibri" w:hAnsi="Times New Roman Tj" w:cs="Times New Roman"/>
          <w:b/>
          <w:i/>
          <w:sz w:val="28"/>
        </w:rPr>
        <w:t xml:space="preserve">                                                                                                            </w:t>
      </w:r>
      <w:r w:rsidRPr="004E45A0">
        <w:rPr>
          <w:rFonts w:ascii="Times New Roman Tj" w:eastAsia="Calibri" w:hAnsi="Times New Roman Tj" w:cs="Times New Roman"/>
          <w:sz w:val="28"/>
        </w:rPr>
        <w:t>таблица 2</w:t>
      </w:r>
    </w:p>
    <w:p w:rsidR="004E45A0" w:rsidRPr="004E45A0" w:rsidRDefault="004E45A0" w:rsidP="004E45A0">
      <w:pPr>
        <w:spacing w:after="0" w:line="240" w:lineRule="auto"/>
        <w:ind w:firstLine="567"/>
        <w:rPr>
          <w:rFonts w:ascii="Times New Roman Tj" w:eastAsia="Calibri" w:hAnsi="Times New Roman Tj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701"/>
        <w:gridCol w:w="1549"/>
        <w:gridCol w:w="1108"/>
      </w:tblGrid>
      <w:tr w:rsidR="004E45A0" w:rsidRPr="004E45A0" w:rsidTr="004E45A0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№ </w:t>
            </w:r>
          </w:p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Объем производства в 2016 году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Объем производства в 2017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Рост</w:t>
            </w:r>
          </w:p>
        </w:tc>
      </w:tr>
      <w:tr w:rsidR="004E45A0" w:rsidRPr="004E45A0" w:rsidTr="004E45A0">
        <w:trPr>
          <w:trHeight w:val="5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5A0" w:rsidRPr="004E45A0" w:rsidRDefault="004E45A0" w:rsidP="004E45A0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5A0" w:rsidRPr="004E45A0" w:rsidRDefault="004E45A0" w:rsidP="004E45A0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5A0" w:rsidRPr="004E45A0" w:rsidRDefault="004E45A0" w:rsidP="004E45A0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5A0" w:rsidRPr="004E45A0" w:rsidRDefault="004E45A0" w:rsidP="004E45A0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процент</w:t>
            </w:r>
          </w:p>
        </w:tc>
      </w:tr>
      <w:tr w:rsidR="004E45A0" w:rsidRPr="004E45A0" w:rsidTr="004E45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</w:rPr>
            </w:pPr>
            <w:r w:rsidRPr="004E45A0">
              <w:rPr>
                <w:rFonts w:ascii="Times New Roman Tj" w:eastAsia="Calibri" w:hAnsi="Times New Roman Tj" w:cs="Times New Roman"/>
                <w:sz w:val="24"/>
              </w:rPr>
              <w:t>Производство мяса, тысяч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116,7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124,4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+7,7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+6,6%</w:t>
            </w:r>
          </w:p>
        </w:tc>
      </w:tr>
      <w:tr w:rsidR="004E45A0" w:rsidRPr="004E45A0" w:rsidTr="004E45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rPr>
                <w:rFonts w:ascii="Times New Roman Tj" w:eastAsia="Calibri" w:hAnsi="Times New Roman Tj" w:cs="Times New Roman"/>
              </w:rPr>
            </w:pPr>
            <w:r w:rsidRPr="004E45A0">
              <w:rPr>
                <w:rFonts w:ascii="Times New Roman Tj" w:eastAsia="Calibri" w:hAnsi="Times New Roman Tj" w:cs="Times New Roman"/>
                <w:sz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918,0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950,0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+32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+3,5%</w:t>
            </w:r>
          </w:p>
        </w:tc>
      </w:tr>
      <w:tr w:rsidR="004E45A0" w:rsidRPr="004E45A0" w:rsidTr="004E45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rPr>
                <w:rFonts w:ascii="Times New Roman Tj" w:eastAsia="Calibri" w:hAnsi="Times New Roman Tj" w:cs="Times New Roman"/>
              </w:rPr>
            </w:pPr>
            <w:r w:rsidRPr="004E45A0">
              <w:rPr>
                <w:rFonts w:ascii="Times New Roman Tj" w:eastAsia="Calibri" w:hAnsi="Times New Roman Tj" w:cs="Times New Roman"/>
                <w:sz w:val="24"/>
              </w:rPr>
              <w:t>Яйцо, мл</w:t>
            </w:r>
            <w:proofErr w:type="gramStart"/>
            <w:r w:rsidRPr="004E45A0">
              <w:rPr>
                <w:rFonts w:ascii="Times New Roman Tj" w:eastAsia="Calibri" w:hAnsi="Times New Roman Tj" w:cs="Times New Roman"/>
                <w:sz w:val="24"/>
              </w:rPr>
              <w:t>.</w:t>
            </w:r>
            <w:proofErr w:type="gramEnd"/>
            <w:r w:rsidRPr="004E45A0">
              <w:rPr>
                <w:rFonts w:ascii="Times New Roman Tj" w:eastAsia="Calibri" w:hAnsi="Times New Roman Tj" w:cs="Times New Roman"/>
                <w:sz w:val="24"/>
              </w:rPr>
              <w:t xml:space="preserve"> </w:t>
            </w:r>
            <w:proofErr w:type="gramStart"/>
            <w:r w:rsidRPr="004E45A0">
              <w:rPr>
                <w:rFonts w:ascii="Times New Roman Tj" w:eastAsia="Calibri" w:hAnsi="Times New Roman Tj" w:cs="Times New Roman"/>
                <w:sz w:val="24"/>
              </w:rPr>
              <w:t>ш</w:t>
            </w:r>
            <w:proofErr w:type="gramEnd"/>
            <w:r w:rsidRPr="004E45A0">
              <w:rPr>
                <w:rFonts w:ascii="Times New Roman Tj" w:eastAsia="Calibri" w:hAnsi="Times New Roman Tj" w:cs="Times New Roman"/>
                <w:sz w:val="24"/>
              </w:rPr>
              <w:t>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337,2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341,4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+ 4,2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45A0" w:rsidRPr="004E45A0" w:rsidRDefault="004E45A0" w:rsidP="004E45A0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4E45A0">
              <w:rPr>
                <w:rFonts w:ascii="Times New Roman Tj" w:eastAsia="Times New Roman" w:hAnsi="Times New Roman Tj" w:cs="Times New Roman"/>
                <w:sz w:val="24"/>
                <w:szCs w:val="24"/>
              </w:rPr>
              <w:t>+ 1%</w:t>
            </w:r>
          </w:p>
        </w:tc>
      </w:tr>
    </w:tbl>
    <w:p w:rsidR="004E45A0" w:rsidRPr="004E45A0" w:rsidRDefault="004E45A0" w:rsidP="004E45A0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i/>
          <w:sz w:val="20"/>
          <w:szCs w:val="20"/>
        </w:rPr>
      </w:pPr>
    </w:p>
    <w:p w:rsidR="004E45A0" w:rsidRPr="004D1C82" w:rsidRDefault="004E45A0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Показатели объёма производства продукции в стране недостаточны для полного обеспечения населения продовольственной продукции, и потребление основных видов продукции частично удовлетворяется за счёт импорта.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2017 году импорт продовольственной продукции по сравнению с 2016 годом увеличился в совокупности на 1,3 процента, сократились импорт муки на 38,5 процентов, фруктов и клубней - 20,3 процента, молока и молочных продуктов - 15,8 процентов и пшеницы - на 1,5 процентов. Импорт основных продовольственных продуктов на 2016-2017 годов. </w:t>
      </w:r>
    </w:p>
    <w:p w:rsidR="00EE70B3" w:rsidRDefault="00EE70B3" w:rsidP="00EE70B3">
      <w:pPr>
        <w:spacing w:after="0" w:line="18" w:lineRule="atLeas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B3" w:rsidRDefault="00EE70B3" w:rsidP="00EE70B3">
      <w:pPr>
        <w:spacing w:after="0" w:line="18" w:lineRule="atLeas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B3" w:rsidRPr="00EE70B3" w:rsidRDefault="00EE70B3" w:rsidP="00EE70B3">
      <w:pPr>
        <w:spacing w:after="0" w:line="18" w:lineRule="atLeast"/>
        <w:ind w:left="4956"/>
        <w:jc w:val="center"/>
        <w:rPr>
          <w:rFonts w:ascii="Times New Roman Tj" w:eastAsia="Times New Roman" w:hAnsi="Times New Roman Tj" w:cs="Times New Roman"/>
          <w:sz w:val="28"/>
          <w:szCs w:val="28"/>
        </w:rPr>
      </w:pPr>
    </w:p>
    <w:p w:rsidR="00EE70B3" w:rsidRPr="00EE70B3" w:rsidRDefault="00EE70B3" w:rsidP="00EE70B3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</w:rPr>
      </w:pPr>
      <w:r w:rsidRPr="00EE70B3">
        <w:rPr>
          <w:rFonts w:ascii="Times New Roman Tj" w:eastAsia="Calibri" w:hAnsi="Times New Roman Tj" w:cs="Times New Roman"/>
          <w:b/>
          <w:sz w:val="28"/>
        </w:rPr>
        <w:lastRenderedPageBreak/>
        <w:t xml:space="preserve">Импорт основных продовольственных продуктов </w:t>
      </w:r>
    </w:p>
    <w:p w:rsidR="00EE70B3" w:rsidRPr="00EE70B3" w:rsidRDefault="00EE70B3" w:rsidP="00EE70B3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</w:rPr>
      </w:pPr>
      <w:r w:rsidRPr="00EE70B3">
        <w:rPr>
          <w:rFonts w:ascii="Times New Roman Tj" w:eastAsia="Calibri" w:hAnsi="Times New Roman Tj" w:cs="Times New Roman"/>
          <w:b/>
          <w:sz w:val="28"/>
        </w:rPr>
        <w:t>на 2016-2017 годов.</w:t>
      </w:r>
    </w:p>
    <w:p w:rsidR="00EE70B3" w:rsidRPr="00EE70B3" w:rsidRDefault="00EE70B3" w:rsidP="00EE70B3">
      <w:pPr>
        <w:spacing w:after="0" w:line="240" w:lineRule="auto"/>
        <w:ind w:firstLine="567"/>
        <w:jc w:val="center"/>
        <w:rPr>
          <w:rFonts w:ascii="Times New Roman Tj" w:eastAsia="Calibri" w:hAnsi="Times New Roman Tj" w:cs="Times New Roman"/>
          <w:sz w:val="28"/>
        </w:rPr>
      </w:pPr>
      <w:r w:rsidRPr="00EE70B3">
        <w:rPr>
          <w:rFonts w:ascii="Times New Roman Tj" w:eastAsia="Calibri" w:hAnsi="Times New Roman Tj" w:cs="Times New Roman"/>
          <w:sz w:val="28"/>
        </w:rPr>
        <w:t xml:space="preserve">                                                                                                    таблица 3</w:t>
      </w:r>
    </w:p>
    <w:p w:rsidR="00EE70B3" w:rsidRPr="00EE70B3" w:rsidRDefault="00EE70B3" w:rsidP="00EE70B3">
      <w:pPr>
        <w:spacing w:after="0" w:line="240" w:lineRule="auto"/>
        <w:ind w:firstLine="567"/>
        <w:jc w:val="center"/>
        <w:rPr>
          <w:rFonts w:ascii="Times New Roman Tj" w:eastAsia="Calibri" w:hAnsi="Times New Roman Tj" w:cs="Times New Roman"/>
          <w:sz w:val="28"/>
        </w:rPr>
      </w:pPr>
      <w:r w:rsidRPr="00EE70B3">
        <w:rPr>
          <w:rFonts w:ascii="Times New Roman Tj" w:eastAsia="Calibri" w:hAnsi="Times New Roman Tj" w:cs="Times New Roman"/>
          <w:sz w:val="28"/>
        </w:rPr>
        <w:t xml:space="preserve">                                                                                                    (тыс. тонн)</w:t>
      </w:r>
    </w:p>
    <w:p w:rsidR="00EE70B3" w:rsidRPr="00EE70B3" w:rsidRDefault="00EE70B3" w:rsidP="00EE70B3">
      <w:pPr>
        <w:spacing w:after="0" w:line="240" w:lineRule="auto"/>
        <w:ind w:firstLine="567"/>
        <w:jc w:val="center"/>
        <w:rPr>
          <w:rFonts w:ascii="Times New Roman Tj" w:eastAsia="Calibri" w:hAnsi="Times New Roman Tj" w:cs="Times New Roman"/>
          <w:sz w:val="10"/>
          <w:szCs w:val="10"/>
        </w:rPr>
      </w:pPr>
      <w:r w:rsidRPr="00EE70B3">
        <w:rPr>
          <w:rFonts w:ascii="Times New Roman Tj" w:eastAsia="Calibri" w:hAnsi="Times New Roman Tj" w:cs="Times New Roman"/>
          <w:sz w:val="28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678"/>
        <w:gridCol w:w="1276"/>
        <w:gridCol w:w="1276"/>
        <w:gridCol w:w="2268"/>
      </w:tblGrid>
      <w:tr w:rsidR="00EE70B3" w:rsidRPr="00EE70B3" w:rsidTr="00EE70B3">
        <w:trPr>
          <w:trHeight w:val="24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Tj" w:eastAsia="Calibri" w:hAnsi="Times New Roman Tj" w:cs="Times New Roman"/>
              </w:rPr>
            </w:pPr>
          </w:p>
          <w:p w:rsidR="00EE70B3" w:rsidRPr="00EE70B3" w:rsidRDefault="00EE70B3" w:rsidP="00EE70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Tj" w:eastAsia="Calibri" w:hAnsi="Times New Roman Tj" w:cs="Times New Roman"/>
              </w:rPr>
            </w:pPr>
            <w:r w:rsidRPr="00EE70B3">
              <w:rPr>
                <w:rFonts w:ascii="Times New Roman Tj" w:eastAsia="Calibri" w:hAnsi="Times New Roman Tj" w:cs="Times New Roman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Список продовольственных продуктов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Импорт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Объем импорта 2017 года </w:t>
            </w:r>
            <w:proofErr w:type="gramStart"/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в</w:t>
            </w:r>
            <w:proofErr w:type="gramEnd"/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процента </w:t>
            </w:r>
          </w:p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к 2016 году</w:t>
            </w:r>
          </w:p>
        </w:tc>
      </w:tr>
      <w:tr w:rsidR="00EE70B3" w:rsidRPr="00EE70B3" w:rsidTr="00EE70B3">
        <w:trPr>
          <w:trHeight w:val="7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Пищевые продукты,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1585,9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1565,4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101,3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пшеница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1014,5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1034,1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98,1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мука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88,8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61,5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сахар-рафинад и кондитерские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104,1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120,1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86,5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112,3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84,3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яйцо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более 2,9 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более 3,1 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более 2,2 </w:t>
            </w:r>
          </w:p>
        </w:tc>
      </w:tr>
      <w:tr w:rsidR="00EE70B3" w:rsidRPr="00EE70B3" w:rsidTr="00EE70B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Calibri" w:hAnsi="Times New Roman Tj" w:cs="Times New Roman"/>
                <w:sz w:val="24"/>
                <w:szCs w:val="24"/>
              </w:rPr>
              <w:t>фрукты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24,1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3" w:rsidRPr="00EE70B3" w:rsidRDefault="00EE70B3" w:rsidP="00EE70B3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EE70B3">
              <w:rPr>
                <w:rFonts w:ascii="Times New Roman Tj" w:eastAsia="Times New Roman" w:hAnsi="Times New Roman Tj" w:cs="Times New Roman"/>
                <w:sz w:val="24"/>
                <w:szCs w:val="24"/>
              </w:rPr>
              <w:t>79,7</w:t>
            </w:r>
          </w:p>
        </w:tc>
      </w:tr>
    </w:tbl>
    <w:p w:rsidR="00EE70B3" w:rsidRPr="00EE70B3" w:rsidRDefault="00EE70B3" w:rsidP="00EE70B3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10"/>
          <w:szCs w:val="10"/>
        </w:rPr>
      </w:pP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Зависимость обеспечения продовольственной продукции от импорта некоторых видов продукции из зарубежных стран затрудняет регулирование цен на потребительский рынок и негативно влияет на их доступности населению.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Современный этап формирования глобализации продовольственной продукции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системным кризисом мирового рынка.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мировом рынке цены на продовольственную продукцию в последние годы остаются нестабильными, а согласно данным продовольственной и сельскохозяйственной организации ООН (ФАО) только в период за 2005-2010 годов увеличились цены на пищевые продукты в 2 раза, а для других отдельных видов продукции (рис, сахар, сухое молоко, масличные культуры, растительное масло) увеличилось от 2,5 до 3 раз.</w:t>
      </w:r>
      <w:proofErr w:type="gramEnd"/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Согласно прогнозам от последних данных соответствующих международных организаций цены на продовольственные товары к 2020 году ежегодно увеличиваются на 3-4 процента в год.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 аналитическим оценкам вышеупомянутых международных организаций, реальная цена зерновых по сравнению со средними ценами за период 1997-2006 годов увеличатся на 15-40 процента. Растительное масло, мясо и молочные продукты подорожают на 40 процента.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35. На основе прогнозов мировой экономики повышение цен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пшеницу в среднем ежегодно составляет 4 процента, а до 2030 года будет равняться 500 долл. США за тонну. В отдельные годы с учётом климатических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погоды согласно прогнозам Министерства экономического развития Российской Федерации до 2030 года цена на пшеницу будет подвержена изменению.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Рынок зерна, муки и хлебных продукций в Таджикистане к стабильности цен очень чувствителен и больше зависит от импорта продукции. Темпы роста цен на основную продовольственную продукцию, особенно на пшеницу и муку усложняет доступ населения к этим видам продукций.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Основные торговые партнеры (Россия, Казахстан) на этапе роста цен на продовольственную продукцию с целью удовлетворения потребностей собственного рынка, иногда в отношении импорта продовольственной продукции используют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мораторий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привести к росту цен на рынке хлебной продукции.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C30VT0LM"/>
      <w:bookmarkEnd w:id="4"/>
      <w:r w:rsidRPr="004D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§2. Цели и приоритеты Программы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38. Нынешняя ситуация обеспечения продовольственной безопасности в стране и ее перспективы определили цель и приоритетные направления осуществления Программы.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Приоритетные направления Программы безопасности продовольственной продукции: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развития сельскохозяйственной отрасли;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отраслей разработки продовольственной продукции;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регулирование экспорта и импорта продовольственной продукции и защита внутреннего рынка продовольственной продукции Республики Таджикистан;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необходимого уровня ресурсов продовольственной продукции, переоснащение и формирование нового потенциала для разработки и сохранении ресурсов продовольственной продукции;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инспекции и контроля качественной безопасности продовольствия.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сельскохозяйственного производства будет направлена на следующее: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ирригационная система, в том числе внутрихозяйственные оросительные сети;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защита растений и животных;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семян и разведение пород;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производства переработанной продукции;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устойчивость производственного процесса.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 указанным направлениям определяются следующие задачи: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местных производителей в обеспечении безопасности продовольственной продукции и развитии их институционального потенциала;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поддержка производителей продукции;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частных и государственных организаций, оказывающих услуги;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производителей продукции, обеспечение доступа к информациям, предоставление консультационных услуг аграриям.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41. Для развития отрасли растениеводства значительную роль играют благоприятные климатические условия, наличие природных ресурсов, навыки обработки земель и землепользования, возрастающая потребность к продовольственной продукции, устойчивая государственная и инвестиционная поддержка.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42. Анализ реального состояния данной отрасли определило следующие проблемы, оказывающие воздействия на безопасность продовольственной продукции: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сельскохозяйственное производство не устойчиво к регулярным и долгосрочным климатическим условиям;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и привлечение иностранной инвестиции недостаточно для рационального использования водных ресурсов и содержания ирригационных систем;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пашни, продолжается нецелевое и неэффективное использование этих земель;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для восстановления пашни.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В последние годы в области растениеводства, в том числе в производстве картофеля наблюдается неустойчивость, а производство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видов овощей, фруктов и ягод, масличных культур и бахчевых относительно стабильно.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 целях повышения урожайности и производства фруктов в качестве импортозамещающей продовольственной продукции, постановлением Правительства Республики Таджикистан от 30 декабря 2015 года, </w:t>
      </w:r>
      <w:hyperlink r:id="rId8" w:tooltip="Ссылка на Программа развития садоводства и виноградарства в РТ на 2016 - 2020 годы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№793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и осуществляется Программа развития садоводства и виноградарства в Республике Таджикистан на 2016-2020 годы.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Показатели среднегодовой урожайности основных культур отрасли растениеводства в 2016-2017 годы, составляли: пшеница - 28,4 ц/га, масличные культуры - 19,9 ц/га, картофель - 202,9 ц/га, овощи - 252,3 ц/га,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бахчевые - 250,4 ц/га, фрукты и ягоды - 40,5 ц/га, виноград -68,2 ц/га. Наблюдается низкая урожайность производства пшеницы -28,4 ц/га, в то время как максимальная урожайность производства пшеницы в мире составляет до 98 ц/ га.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Для повышения урожайности стратегических продовольственных культур сельскохозяйственными структурами страны планируется проведение на должном уровне необходимой агротехнической работы, обеспечение земель оросительной водой, правильный отбор семян и борьба против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сельхозвредителей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реализации указанных мероприятий предусматривается увеличение урожайности и объема производства приоритетных видов сельскохозяйственной культуры, в особенности пшеницы, картофеля и технических культур.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Для повышения урожайности культур, ключевую роль играет обеспечение качественными семенами и в этом направлении осуществляются мероприятия в рамках Программы развития отрасли семеноводства в Республике Таджикистан на 2016-2020 годы, принятой постановлением Правительства Республики Таджикистан от 28 октября 2016 года, №438.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48. Для обеспечения развития растениеводства решающую роль играет защита посевных земель, садов и виноградников от вредителей и инфекций болезней растений.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В борьбе против вредителей и особо опасных болезней (саранча, тутовая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огнева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землеройка, клоп-черепашка, фитофтороз картофеля, желтая ржавчина, бурая ржавчина) необходимо провести постоянные мероприятия по защите растений и обеспечить их финансирование.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В случае вероятного распространения вредных организмов, для своевременного обеспечения химическими веществами и организации необходимых мероприятий планируется создание запасного резерва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химических веще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борьбы с вредными организмами, что способствует своевременной защите сельскохозяйственных культур от опасных вредных организмов.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51. Создание карантинных зон для проверки и определения наличия карантинных организмов вредителей в саженцах и семенах импортируемые из зарубежных стран являются велением времени.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Для своевременного удаления сорняков, обнаружения вредителей и карантинных болезней, а также постоянного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полями, деревьями, садами и виноградниками, лесами, парками, скверами, зонами окрестностей, складов и предприятий, где хранятся или перерабатываются продовольственные продукции и семена сельскохозяйственных культур, необходимо провести разъяснительные работы среди населения, работников предприятий, организаций и предпринимателей. Данное мероприятие сыграет ключевую роль для повышения урожайности и защиты сельскохозяйственных культур.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Перерабатывающая промышленность - включает в себя предприятия, перерабатывающие молоко и молочные продукции, мясо, овощи, фрукты, ягоды и зерновые продукты, ориентируемые на отечественное импортное сырье. В нынешней сР1туации в стране перерабатывается менее трети произведенного в стране молока, до 15 процента от общего объема производства фруктов, овощей, ягод и менее 5 процента производства мяса в стране.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54. Низкий уровень переработки растениеводческой продукции является одной из основных причин потери полученного урожая. В целом, недостаточный объем переработки продукции снижает экономический стимул для развития сельскохозяйственного производства.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55. Основные проблемы в области организации сельскохозяйственного производства и переработки продовольственной продукции: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производственного потенциала дехканских (фермерских) хозяйств, связанного с небольшим объемом производства, неустойчивостью их прибыли, ограниченным доступом производителей к товарам и услугами, кредитным ресурсам, сельскохозяйственной техники, услугам по защите растений и животных, качественным посевным семенам, породистым животным, недостаток питательного корма для животных ит. д.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трудности в реализации продукции, связанного с неэффективной системой сертификации продукции, недостаточная маркетинговая поддержка и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необходимого сотрудничества между производителями и перерабатывающими предприятиями.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этом процессе необходима организация должного уровня запасов продовольственной продукции, переоснащение и формирование потенциала по переработке и хранению запасов пищевых продуктов.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57. Эта приоритетная область требует поддержки организации условия хранения продукций в дехканских (фермерских) хозяйствах, перерабатывающих предприятиях и торгово-логистического комплекса. Выполнение этих задач включает в себя мероприятия, направленные на формирование инвестиционного фонда, который направлен на строительство и реорганизацию складов хранения продукций.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этой сфере хотя и были приняты ряд мер в рамках Программы создания и восстановления холодильников и холодильных помещений в Республике Таджикистан на 2015-2019 годы, утвержденной постановлением Правительства Республики Таджикистан от 1 декабря 2015 года, №727, однако они не могут удовлетворить нужды сельскохозяйственной отрасли в части необходимого запаса продовольственной продукции.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Механизм поддержки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помощь в компенсации определенного процента расходов предусматривает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потенциала государственных материальных ресурсов по хранению и мониторингу стратегических запасов продовольствия.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60. Этот процесс предусматривает усовершенствование производственного потенциала унитарных государственных предприятий Агентства по государственным материальным резервам при Правительстве Республики Таджикистан совершенствование метода управления продовольственных ресурсов, мониторинговую систему и обучение специалистов системы государственных материальных ресурсов.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Управление импортом и экспортом продовольственной продукции в рамках Национальной стратегии развития на период до 2030 года и Государственной программы содействия экспорту и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на 2016-2020 годы предусматривает следующие задачи: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зависимости от импортной продовольственной продукции;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развития производства экспортируемой продовольственной продукции и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стимулирования производителя и экспортера;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конкурентоспособности отечественного производителя продовольственной продукции на внутреннем и внешнем потребительском рынках.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контроля импорта и экспорта продовольственной продукции на потребительском рынке страны запланирована создание передвижных лабораторий продовольственной безопасности на пограничных пропускных пунктах, постройка и восстановление инфраструктуры пунктов контроля продовольственной безопасности на границе, создание базы электронных данных по импорту и экспорту продовольственной продукции и повышение профессиональной квалификации специалистов продовольственной безопасности.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данных мероприятий будут направлены на усиление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предупреждением ввоза и продажи низкокачественных продовольственных продуктов.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Республики Таджикистан пункты продовольственной безопасности (используемые пестициды, пища и пищевые добавки, животные, продовольственное сырье, пищевые добавки, материалы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соприкасаемые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продовольственными продуктами, готовое продовольствие, также технологические процессы, сбор, транспортировка, хранение, эксплуатации) должны соответствовать требованиям технических регламентов и других нормативных правовых актов Республики Таджикистан в области санитарных, ветеринарных и фитосанитарных и карантинных мероприятий.</w:t>
      </w:r>
      <w:proofErr w:type="gramEnd"/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64. В последние годы Правительство Республики Таджикистан проводит значительную работу по разработке и принятию технических регламентов на продовольственную продукцию. В Республике Таджикистан имеется 11 технических регламентов.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65. В большинстве случаев содержание нормативных правовых актов носит ограниченный или секторальный характер и подразумевает отдельные компоненты. Например, в принятых технических регламентах не установлены требования по обеспечению надзора и мониторинга, что увеличивает риск обеспечения безопасности продовольственной продукции. Высокий уровень риска на уровне производства продовольственной продукции наблюдается при использовании пестицидов, лекарственных средств животных, кормов для животных и кормовых добавок.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Использование пестицидов - это контроль за остатками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 животных, продовольственном сырье, корме животных готовой продовольственной продукции и является составной частью системы обеспечения безопасности продовольственной продукции.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67. Государственное регулирование производства, импорта, оборота и использования пестицидов регулируются Законом Республики Таджикистан "О химизации и защите растений", а также положениями Стокгольмской Конвенции по ограничению 12 видов химических веществ, которые приводят к устойчивости загрязнителей.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Хозяйственные субъекты, которые занимаются производством растениеводческой продукции, в том числе кормовой культуры, должны использовать те пестициды, которые зарегистрированы компетентным органом по химизации и защите растений, а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таюке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в государственном регистре пестицидов и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разрешенные для использования на территории Республики Таджикистан.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Республике Таджикистан, встречаются случаи регистрации неизвестных химических составов в качестве пестицидов, и не соответствуют правилам и международным нормам оборота пестицидов ("Требования к пестицидам и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" главы II Единого санитарно-эпидемиологического и гигиенического требования к товарам, нуждающимся санитарно-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эпидёмиологическому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контролю, утвержденные постановлением Комиссии Таможенного союза от 28 мая 2010 года, №299).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международной практике импортируемые пестициды тогда регистрируются и разрешаются для использования, если они получили предварительное согласие и прошли регистрацию в стране происхождения.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70. Использование лекарственных сре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животных - это контроль лекарственных средств, используемых для профилактики и лечения животных, а также контроль над остатками их в продовольственной продукции и пищевых продуктов и является неотъемлемой частью обеспечения безопасности продовольственной продукции.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71. В Республике Таджикистан государственное регулирование производства, импорта и использования лекарственных сре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животных устанавливается Законом Республики Таджикистан "</w:t>
      </w:r>
      <w:hyperlink r:id="rId9" w:tooltip="Ссылка на Закон РТ О ветеринарии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ветеринарии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техническим регламентом "О безопасности ветеринарных лекарственных средств".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В стране количество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 лекарств, разрешенных к использованию по сравнению с Российской Федерацией насчитывается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раз меньше, что способствует неофициальному импорту большинства ветеринарных лекарств.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В рамках Программы предусматривается подготовка нового перечня ветеринарных продуктов, ещё большее упрощение процедуры регистрации, перерегистрации и лицензирования производителей, в особенности отечественных производителей. Введение в действие нового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и использование новых безвредных ветеринарных продуктов содействуют развитию потребительского рынка медикаментов, и пресечению ввоза низкокачественных и контрафактных ветеринарных препаратов.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74. Использование кормов для животных и кормовых добавок - в международном опыте для обеспечения безопасности продуктов животного происхождения особое внимание уделяется составу кормов животных и его добавков.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Ветеринарно-санитарная оценка качества корма животных и добавок к ему, премиксов, витаминов и биостимуляторов роста проводится диагностическими центрами безопасности продовольствия в соответствии с требованиями законов Республики Таджикистан "</w:t>
      </w:r>
      <w:hyperlink r:id="rId10" w:tooltip="Ссылка на Закон РТ О ветеринарии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ветеринарии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hyperlink r:id="rId11" w:tooltip="Ссылка на Закон РТ О продовольственной безопасности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продовольственной безопасности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", "О пищевой безопасности", "</w:t>
      </w:r>
      <w:hyperlink r:id="rId12" w:tooltip="Ссылка на Закон РТ О защите прав потребителей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потребителей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положениями Санитарного кодекса наземных животных.</w:t>
      </w:r>
      <w:proofErr w:type="gramEnd"/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Программы для налаживания деятельности Национального диагностического центра продовольственной безопасности, центров диагностики продовольственной безопасности в городах и районах и потребительских рынках в соответствии с требованиями Всемирной организации здоровья животных, САРКУПК (Система анализа рисков и контроля в угрожающих пунктов контроля), Стандарты 180 22000 и Санитарных правил и норм кодекса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Алиментариуса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мероприятия в части доступа современного оборудования и подготовке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высококвалифицированного персонала.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77. Обеспечение здоровья скота - в соответствии с международными правилами и нормативными правовыми актами в области ветеринарии, скот должен быть здоровым и защищен от любой болезни.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78. Правительство Республики Таджикистан осуществляет комплекс программных работ и конкретные мероприятия по обеспечению здоровья скота, предупреждению о возникновении, распространении и ликвидации болезней скота, защите населения от болезней скота, защите территории Таджикистан от проникновения инфекционных заболеваний и благоприятного ветеринарного состояния на территории страны.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79. Тем не менее, в деятельности центров обеспечения продовольственной безопасности в городах и районах существуют много проблем. В частности, для проведения ветеринарных мероприятий, включая иммунизацию и другие профилактические меры недостаточны средства финансирования.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80. В соответствии с постановлением Правительства Республики Таджикистан от 4 октября 2011 года, </w:t>
      </w:r>
      <w:hyperlink r:id="rId13" w:tooltip="Ссылка на Пост. Правительства РТ О создании Фонда противоэпизоотических мероприятий и утверждении его Положения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№487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противоэпизоотических мероприятий, компенсации потерь в результате изъятия и уничтожения животных и продукции животного происхождения, опасных для здоровья животных и людей создан Фонд противоэпизоотических мер. Данному фонду с 2014 года ежегодно выделяется государственным бюджетом до 2,5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примерно 13-14 процента от общего спроса страны на покупку необходимых вакцин. Поэтому для проведения работ в этом направлении нужны дополнительные финансирования из государственного бюджета и всё большее привлечение внешних грантов международных организаций и доноров в Республику Таджикистан. Поэтапное увеличение размера средств Фонда противоэпизоотических мероприятий будут способствовать обеспечению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стабильной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эпизоотической состоянии, гарантия здоровья животных и пресечению распространения зоонозных заболеваний.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Финансирование реализации постановления Правительства Республики Таджикистан от 27 февраля 2010 года, </w:t>
      </w:r>
      <w:hyperlink r:id="rId14" w:tooltip="Ссылка на Пост. Правительства РТ О проведении клеймения сх животных в РТ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№97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проведении клеймения сельскохозяйственных животных в Республике Таджикистан" также не реализовано на должном уровне и не проводится клеймение поголовья, принадлежащему населению. Данное положение затрудняет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передвижением скота и своевременной профилактики инфекционных заболеваний, в том числе кампанией иммунизации.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Осуществление постановления Правительства Республики Таджикистан от 3 апреля 2012 года, </w:t>
      </w:r>
      <w:hyperlink r:id="rId15" w:tooltip="Ссылка на Пост. Правительства РТ О порядке выплаты компенсации ущерба физичес. и юридич. лицам в результате изъятия и уничтожения животных и продукции...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№156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оплаты компенсации вреда, причиненного юридическим и физическим лицам, в результате изъятия и уничтожении животных и продукции животного происхождения, опасных для здоровья животных и человека" также вызывает беспокойство. В результате по причине отсутствия финансирования, несвоевременного изъятия и уничтожения (санитарного убоя) больного скота, он находится среди здорового поголовья, приводя к увеличению заболевания среди животных и оставаясь очагом опасных инфекционных заболеваний среди населения. В рамках Программы необходимо выделение дополнительных государственных финансировании. В то же время необходимо усилить пропагандистские и разъяснительные работы среди населения об обязательном и добровольном страховании животных. Исполнение данных мероприятий направлены на снижение уровня опасных заболеваний среди животных и населения, в частности заболеваний бруцеллеза.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Не выполняются требования Закона Республики Таджикистан "О ветеринарии", который разрешает убой скота только в специально отведённых местах.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городов и районов не отведены специальные места для убоя скота, и убой скота в основном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населенных пунктах и может стать причиной возникновения и распространения инфекционных заболеваний, Поэтому для создания и строительства мест для убоя скота местными исполнительными органами государственной власти предусматриваются меры по привлечению предпринимателей, необходимые для защиты здоровья общества и способствуют своевременной конфискации зараженной продукции.</w:t>
      </w:r>
      <w:proofErr w:type="gramEnd"/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84. В области диагностики продовольственной безопасности национальным центром и центрами диагностики продовольственной безопасности в городах и районах и на потребительских рынках проводят органолептические, бактериологические, химические и токсикологические исследования продуктов животного и растительного происхождения, а также воды, почвы, кормов для животных и т.д.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85. Согласно Техническому регламенту продовольственной безопасности пищевых продуктов 010-2016 молоко и мясные продукты должны соответствовать требованиям стандарта. Для определения безопасности и наличия риска возбудителей инфекционных заболеваний обязателен их лабораторный диагноз.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Для проведения такого типа диагностики до сих пор используются классические методы.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техническому регламенту, молоко и мясные продукты должны проверяться на основе группы показателей безопасности (показатели: органическая плотность, жирность, белки, остатки сухих веществ, содержание воды, степень замораживания, кислотность, соматические клетки, радиологические показания, остатки антибиотиков, бактериологическое заражение).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 в диагностических центрах не созданы современные диагностические условия для выявления вредных компонентов, пестицидов,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диоксинов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меламинов в составе сырого молока.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В то же время в лабораториях диагностики продовольственной безопасности из-за отсутствию необходимых диагностических средств не проводится современными методами полной диагностики диагностика по определению ряда опасных заболеваний, в частности лейкоза,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язвы,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листериоза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птичьего гриппа и острого воспаления кожи.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В рамках Программы предусматривается переоснащение диагностических центров, закупка современного оборудования, диагностических материалов, необходимых реагентов и переподготовка персонала, также создание мобильных лабораторий на пограничных пропускных пунктах. Обеспечение диагностических центров современным оборудованием и повышение уровня квалификации их работников сыграют важную роль для обеспечения безопасности продовольственной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и качества диагностики, а также их соответствия международным стандартам.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области развития животноводческой отрасли - посредством этих мер реализуется повышение производительности, увеличение поголовья и производства продукции, обеспечение населения мясом, молоком, яйцами, рыбой, медом и налаживания производства импортозамещающих продукций согласно Комплексной программы развития животноводческой отрасли в Республике Таджикистан на 2018-2022 годы, утвержденной постановлением Правительства Республики Таджикистан от 27 марта 2018 года, </w:t>
      </w:r>
      <w:hyperlink r:id="rId16" w:tooltip="Ссылка на Пост. Правительства РТ О Комплексной программе развития отрасли животноводства в РТ на 2018-2022 годы" w:history="1">
        <w:r w:rsidRPr="004D1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№160</w:t>
        </w:r>
      </w:hyperlink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90. На уровень доступа населения к продовольственной продукции влияет ряд факторов, например, повышение цен на продовольственную продукцию, изменение климата, стихийные бедствия и социальные неблагополучия.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Сравнительное состояние расходов на продовольствие на территории страны составляет от 46,6 до 55,6 процентов по сравнению со средним размером минимума в стране. Такой объем расходов (223,96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вряд ли будет доступен для продуктов питания уязвимым группам населения, многодетным семьям, инвалидам, пожилым людям и пенсионерам, которые получают минимальный размер пенсий (593,44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году).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Уязвимые группы населения, которые не имеют доступа в получении самостоятельного дохода и к продовольственным продуктам, в большей степени их проживание зависит от социальных пособий и пенсий, и в меньшей степени от доходов, получаемых за счет найма. Этот фактор расширят и укрепляет понятие все более "государственная поддержка" и в этих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государственная поддержка должна быть значительной для этих групп.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Таким образом, нахождение способов и методов стимулирования таких слоев населения в получении среднего дохода на душу населения должно стать одним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политики государства по улучшению доступа к продовольственной продукции. Также, планируется создание постояннодействующей рабочей группы при Координационном совете по безопасности пищевых продуктов для проведения постоянных исследований по мониторингу потребительского рынка, обеспечению населения продовольствиям, экспортеров и импортеров продовольственной продукции и разработке регулярной нормы потребительской корзины населения каждому человеку.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Занятость, в особенности населения, живущих в сельской местности, является одним из основных целей препятствий для получения доходов и </w:t>
      </w: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 к продовольственной продукции. Возможности для занятости населения в сельской местности страны ограничены.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95. Несмотря на высокие показатели занятости на местах, сельское население не может иметь достаточный доход по сравнению с городским населением. Малые дехканские хозяйства также включены в группу риска, и имеют ограниченные возможности в условиях кризиса и инфляции для доступа к продовольственной продукции.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96. Для обеспечения устойчивого доступа к продовольственной продукции для уязвимых групп и их защиты от высоких цен на продовольственные продукции необходимо обеспечить устойчивость приемлемых цен на внутреннем потребительском рынке и государственную поддержку для дополнительных доходов уязвимым слоям населения.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97. Для обеспечения устойчивости приемлемых цен на внутреннем потребительском рынке необходимо: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устойчивость государственных материальных ценностей Агентства по государственным материальным резервам при Правительстве Республики Таджикистан;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механизм смягчения воздействий климатических рисков на доступность продовольственной продукции;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гибкую систему обучения и повышения квалификации специалистов по управлению вопросами продовольственной безопасности;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 к информации о продовольственной безопасности.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98. Одновременно необходимо стимулировать уровень доходности уязвимых групп населения с целью обеспечения доступа к продовольственным продуктам и. улучшение навыков получения дополнительного дохода, особенно для сельского населения.</w:t>
      </w:r>
    </w:p>
    <w:p w:rsidR="004D1C82" w:rsidRPr="004D1C82" w:rsidRDefault="004D1C82" w:rsidP="00893B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C30WAQI0"/>
      <w:bookmarkEnd w:id="5"/>
      <w:r w:rsidRPr="004D1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УПРАВЛЕНИЕ ПРОЦЕССОМ ОСУШЕСТВЛЕНИЯ, ФИНАНСИРОВАНИЕ И МОНИТОРИНГ ХОДА ВЫПОЛНЕНИЯ ПРОГРАММЫ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99. Программа реализуется посредством Плана мероприятий по осуществлению Программы безопасности продовольственной продукции на 2019-2023 годы (приложение 1).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100. Управление процессом осуществления Программы предусматривает: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систематический анализ и оценку реализации годовых планов для принятия решения об относительном прогрессе выполнения Программы;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затрат, необходимых для осуществления мероприятий и проектов Программы;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вероятных дополнительных источников финансирования для осуществления мероприятий и инвестиционных проектов Программы;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реализации мероприятий и поставленных задач в рамках осуществления Программы;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среды для управления и регулирования эффективного осуществления Программы и Плана;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налаживание системы мониторинга и оценки, выявление отставаний от выполнения целей и задач, анализ этих причин и внесение необходимых корректив.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101. Совместные согласованные действия всех заинтересованных сторон в целом по осуществлению Программы на основе общей координации обеспечивается Председателем Координационного совета по безопасности пищевых продуктов в Республике Таджикистан - заместителем Премьер - министра Республики Таджикистан.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Основными задачами исполнительных органов государственной власти, которые ответственности за рассмотрение конкретных задач Программы, являются: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мобилизация необходимых бюджетных средств; 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привлечения совместных финансирований;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институциональных условий для частного сектора и гражданского общества по участию в реализации Программы.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103. Финансирование, партнерство и участие в осуществлении Программы - практическая реализация мероприятий Программы безопасности продовольственной продукции на 2019-2023 годы требует определенных финансовых ресурсов. Для практической реализации Программы в соответствии с прогнозом источников финансирования предусматривается выделение сре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72,5 миллионов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25,5 миллионов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источников государственного бюджета и 47 миллионов </w:t>
      </w:r>
      <w:proofErr w:type="spell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других источников.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104. Решение основных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обеспечения безопасности продовольственной продукции страны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аграрного сектора возможно только путем мобилизации и использования потенциала и возможностей государственного и регионального управления, местного самоуправления, частного сектора, неправительственных организаций, а также международных донорских организаций.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Ввиду этого, для осуществления Программы необходимо привлечение и координация внешней помощи, предлагаемые международными организациями и донорами Республике Таджикистан.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около 20 международных организаций участвуют в осуществлении проектов и грантов, связанных с обеспечением безопасности продовольственной продукции и развитием агропромышленного сектора, такие как Всемирный банк, Азиатский банк развития, Европейский банк реконструкции и развития, Программа развития Организации Объединенных Наций, Продовольственная и сельскохозяйственная организация Организации Объединенных Наций, Мировая продовольственная программа, Европейская комиссия, ЮСАИД и другие доноры.</w:t>
      </w:r>
      <w:proofErr w:type="gramEnd"/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107. Финансирование реализации мероприятий Программы осуществляется в рамках средств, предусмотренных государственным бюджетом, внутренних и внешних инвестиций, собственных средств министерств, ведомств и соответствующих организаций, а также предпринимателей и дехканских (фермерских) хозяйств (приложение 2).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Для достижения приоритетных целей и направлений Программы соответствующие министерства и ведомства предпринимают меры по привлечению внешней помощи.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Показатели, мониторинг и оценка осуществления Программы Регулярный мониторинг и оценка осуществления Программы является эффективным инструментом для контроля за ходом его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способствуют принятию необходимых и своевременных решений путем внесения необходимых корректировок в план реализации Программы.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Согласование годового плана осуществления Программы (2019-2023 годы) с заинтересованными сторонами по совокупности показателей является неотъемлемым компонентом </w:t>
      </w:r>
      <w:proofErr w:type="gramStart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proofErr w:type="gramEnd"/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осуществления Программы в части выполнения задач по обеспечению безопасности продовольственной продукции по четырем целевым направлениям Программы. Показатели мониторинга и оценки плана на 2019-2023 годы и годовые планы мероприятий определяют количественное и качественное описание.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111. На основании данных мониторинга оценка эффективности реализации Программы осуществляется регулярно. В ходе этой оценки будет проведен конкретный анализ результатов и достижений, определяются недостатки и слабые стороны осуществления мероприятий Программы. На основе полученных результатов будут приняты во внимание альтернативные возможности для будущей деятельности, перераспределение ресурсов, улучшение координации с донорами и удовлетворение ожиданий общества, принимаются соответствующие решения.</w:t>
      </w:r>
    </w:p>
    <w:p w:rsidR="004D1C82" w:rsidRPr="004D1C82" w:rsidRDefault="004D1C82" w:rsidP="004D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82">
        <w:rPr>
          <w:rFonts w:ascii="Times New Roman" w:eastAsia="Times New Roman" w:hAnsi="Times New Roman" w:cs="Times New Roman"/>
          <w:sz w:val="28"/>
          <w:szCs w:val="28"/>
          <w:lang w:eastAsia="ru-RU"/>
        </w:rPr>
        <w:t>112. Согласование годового плана осуществления Программы с совокупными его показателями со всеми заинтересованными сторонами является составным компонентом мониторинга и оценки для прогресса приоритетов, определенных до 2023 года в рамках этой Программы.</w:t>
      </w:r>
    </w:p>
    <w:p w:rsidR="005D068F" w:rsidRPr="005D068F" w:rsidRDefault="005D068F" w:rsidP="005D068F">
      <w:pPr>
        <w:spacing w:after="0" w:line="240" w:lineRule="auto"/>
        <w:ind w:left="5387"/>
        <w:jc w:val="center"/>
        <w:rPr>
          <w:rFonts w:ascii="Times New Roman Tj" w:eastAsia="Calibri" w:hAnsi="Times New Roman Tj" w:cs="Times New Roman"/>
          <w:b/>
          <w:sz w:val="28"/>
          <w:szCs w:val="24"/>
        </w:rPr>
      </w:pPr>
    </w:p>
    <w:p w:rsidR="005D068F" w:rsidRPr="005D068F" w:rsidRDefault="005D068F" w:rsidP="005D068F">
      <w:pPr>
        <w:spacing w:after="0" w:line="240" w:lineRule="auto"/>
        <w:ind w:left="5387"/>
        <w:jc w:val="center"/>
        <w:rPr>
          <w:rFonts w:ascii="Times New Roman Tj" w:eastAsia="Calibri" w:hAnsi="Times New Roman Tj" w:cs="Times New Roman"/>
          <w:b/>
          <w:sz w:val="28"/>
          <w:szCs w:val="24"/>
        </w:rPr>
      </w:pPr>
      <w:r w:rsidRPr="005D068F">
        <w:rPr>
          <w:rFonts w:ascii="Times New Roman Tj" w:eastAsia="Calibri" w:hAnsi="Times New Roman Tj" w:cs="Times New Roman"/>
          <w:b/>
          <w:sz w:val="28"/>
          <w:szCs w:val="24"/>
        </w:rPr>
        <w:t xml:space="preserve">     Приложение  1</w:t>
      </w:r>
    </w:p>
    <w:p w:rsidR="005D068F" w:rsidRPr="005D068F" w:rsidRDefault="005D068F" w:rsidP="005D068F">
      <w:pPr>
        <w:spacing w:after="0" w:line="240" w:lineRule="auto"/>
        <w:ind w:left="11051" w:hanging="5387"/>
        <w:jc w:val="center"/>
        <w:rPr>
          <w:rFonts w:ascii="Times New Roman Tj" w:eastAsia="Calibri" w:hAnsi="Times New Roman Tj" w:cs="Times New Roman"/>
          <w:b/>
          <w:sz w:val="28"/>
          <w:szCs w:val="24"/>
        </w:rPr>
      </w:pPr>
      <w:r w:rsidRPr="005D068F">
        <w:rPr>
          <w:rFonts w:ascii="Times New Roman Tj" w:eastAsia="Calibri" w:hAnsi="Times New Roman Tj" w:cs="Times New Roman"/>
          <w:sz w:val="28"/>
          <w:szCs w:val="28"/>
        </w:rPr>
        <w:t>Программы безопасности</w:t>
      </w:r>
    </w:p>
    <w:p w:rsidR="005D068F" w:rsidRPr="005D068F" w:rsidRDefault="005D068F" w:rsidP="005D068F">
      <w:pPr>
        <w:spacing w:after="0" w:line="240" w:lineRule="auto"/>
        <w:ind w:left="5664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5D068F">
        <w:rPr>
          <w:rFonts w:ascii="Times New Roman Tj" w:eastAsia="Calibri" w:hAnsi="Times New Roman Tj" w:cs="Times New Roman"/>
          <w:sz w:val="28"/>
          <w:szCs w:val="28"/>
        </w:rPr>
        <w:t>продовольственной продукции</w:t>
      </w:r>
    </w:p>
    <w:p w:rsidR="005D068F" w:rsidRPr="005D068F" w:rsidRDefault="005D068F" w:rsidP="005D068F">
      <w:pPr>
        <w:spacing w:after="0" w:line="240" w:lineRule="auto"/>
        <w:ind w:left="5664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5D068F">
        <w:rPr>
          <w:rFonts w:ascii="Times New Roman Tj" w:eastAsia="Times New Roman" w:hAnsi="Times New Roman Tj" w:cs="Times New Roman"/>
          <w:sz w:val="28"/>
          <w:szCs w:val="28"/>
        </w:rPr>
        <w:t>Республики Таджикистан</w:t>
      </w:r>
    </w:p>
    <w:p w:rsidR="005D068F" w:rsidRPr="005D068F" w:rsidRDefault="005D068F" w:rsidP="005D068F">
      <w:pPr>
        <w:spacing w:after="0" w:line="240" w:lineRule="auto"/>
        <w:ind w:left="5664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5D068F">
        <w:rPr>
          <w:rFonts w:ascii="Times New Roman Tj" w:eastAsia="Times New Roman" w:hAnsi="Times New Roman Tj" w:cs="Times New Roman"/>
          <w:sz w:val="28"/>
          <w:szCs w:val="28"/>
        </w:rPr>
        <w:t>на</w:t>
      </w:r>
      <w:r w:rsidRPr="005D068F">
        <w:rPr>
          <w:rFonts w:ascii="Times New Roman Tj" w:eastAsia="Calibri" w:hAnsi="Times New Roman Tj" w:cs="Times New Roman"/>
          <w:sz w:val="28"/>
          <w:szCs w:val="28"/>
        </w:rPr>
        <w:t xml:space="preserve">  2019-2023 годы</w:t>
      </w:r>
    </w:p>
    <w:p w:rsidR="005D068F" w:rsidRPr="005D068F" w:rsidRDefault="005D068F" w:rsidP="005D068F">
      <w:pPr>
        <w:spacing w:after="0" w:line="240" w:lineRule="auto"/>
        <w:jc w:val="right"/>
        <w:rPr>
          <w:rFonts w:ascii="Times New Roman Tj" w:eastAsia="Calibri" w:hAnsi="Times New Roman Tj" w:cs="Times New Roman"/>
          <w:b/>
          <w:sz w:val="28"/>
          <w:szCs w:val="28"/>
        </w:rPr>
      </w:pPr>
    </w:p>
    <w:p w:rsidR="005D068F" w:rsidRPr="005D068F" w:rsidRDefault="005D068F" w:rsidP="005D068F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  <w:r w:rsidRPr="005D068F">
        <w:rPr>
          <w:rFonts w:ascii="Times New Roman Tj" w:eastAsia="Calibri" w:hAnsi="Times New Roman Tj" w:cs="Times New Roman"/>
          <w:b/>
          <w:sz w:val="28"/>
          <w:szCs w:val="28"/>
        </w:rPr>
        <w:t xml:space="preserve">План мероприятий </w:t>
      </w:r>
    </w:p>
    <w:p w:rsidR="005D068F" w:rsidRPr="005D068F" w:rsidRDefault="005D068F" w:rsidP="005D068F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5D068F">
        <w:rPr>
          <w:rFonts w:ascii="Times New Roman Tj" w:eastAsia="Calibri" w:hAnsi="Times New Roman Tj" w:cs="Times New Roman"/>
          <w:b/>
          <w:sz w:val="28"/>
          <w:szCs w:val="28"/>
        </w:rPr>
        <w:t xml:space="preserve">по реализации  Программы безопасности продовольственной продукции </w:t>
      </w:r>
      <w:r w:rsidRPr="005D068F">
        <w:rPr>
          <w:rFonts w:ascii="Times New Roman Tj" w:eastAsia="Times New Roman" w:hAnsi="Times New Roman Tj" w:cs="Times New Roman"/>
          <w:b/>
          <w:sz w:val="28"/>
          <w:szCs w:val="28"/>
        </w:rPr>
        <w:t>Республики Таджикист</w:t>
      </w:r>
      <w:r w:rsidRPr="005D068F">
        <w:rPr>
          <w:rFonts w:ascii="Times New Roman Tj" w:eastAsia="Calibri" w:hAnsi="Times New Roman Tj" w:cs="Times New Roman"/>
          <w:b/>
          <w:sz w:val="28"/>
          <w:szCs w:val="28"/>
        </w:rPr>
        <w:t>ан на 2019-2023 годы</w:t>
      </w:r>
    </w:p>
    <w:p w:rsidR="005D068F" w:rsidRPr="005D068F" w:rsidRDefault="005D068F" w:rsidP="005D068F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10"/>
          <w:szCs w:val="1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1"/>
        <w:gridCol w:w="1701"/>
        <w:gridCol w:w="3262"/>
      </w:tblGrid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Ответственные органы</w:t>
            </w:r>
          </w:p>
        </w:tc>
      </w:tr>
      <w:tr w:rsidR="005D068F" w:rsidRPr="005D068F" w:rsidTr="005D068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И</w:t>
            </w: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ky-KG"/>
              </w:rPr>
              <w:t>ррига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ционная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 система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Обеспечение эффективного использования водных ресурсов и защиты ирригационных систем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Постоянно, </w:t>
            </w: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сельского хозяйства, Агентство мелиорации и ирригации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Профилактика изменений форм орошаемых земель, их нецелевое и неэффективное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Постоянно, </w:t>
            </w: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сельского хозяйства, Агентство мелиорации и ирригации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</w:p>
        </w:tc>
      </w:tr>
      <w:tr w:rsidR="005D068F" w:rsidRPr="005D068F" w:rsidTr="005D068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            Развитие растениеводства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Повышение урожайности стратегических продовольственных культур (пшеница, хлопок, картошка, культура сахарной свеклы, овощей, бахчевых культур) и реализация  необходимых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агротехнических  работ сельскохозяйственными  структурами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ky-KG"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Постоянно,</w:t>
            </w: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сельского хозяйства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Государственный комитет по земельному управлению и геодезии,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 xml:space="preserve">продовольственной безопасности, Агентство мелиорации и ирригации,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Академи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я  сельско-хозяйственных наук Таджикистана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Проведение мероприятий по защите посевных земель, бахчевых культур,  садоводства и виноградарства от насекомых и инфекционных растительных заболеваний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Постоянно, </w:t>
            </w: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сельского хозяйства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, 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Академия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сельскохозяйственных наук Таджикистана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Создание запасного резерва химических веще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ств дл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я борьбы против вредных организмов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2019 год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Министерства финансов,  экономического развития и торговли, сельского хозяйства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Государственный комитет по инвестициям и управлению госимуществом,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 местные исполнительные  органы государственной власти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Создание карантинных участков для изучения и определения существования вредных карантинных организмов в саженцах и семенах, поступивших из 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за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рубежа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2019-2020 годы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Государственный комитет по земельному управлению и геодезии,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местные исполнительные  органы государственной власти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Создания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фумигационных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камер в городе Душанбе и в областях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2019-2020 годы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Государственный Комитет по земельному управлению и геодезии,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продовольственной безопасности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gram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Проведение пояснительных и разъяснительных  работ среди населения, предприятий, организаций и предпринимателей для своевременной прополки трав  в случаях выявления  насекомых и карантинных заболеваний, а также постоянный надзор над посевами, древонасаждениями, садов, виноградарством, лесов, садов и скверов, местностей вокруг складов и предприятий, в котором содержатся и перерабатываются продукты питания и зерновые сельскохозяйственной культуры </w:t>
            </w:r>
            <w:proofErr w:type="gramEnd"/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Постоянно,</w:t>
            </w: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сельского хозяйства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D068F" w:rsidRPr="005D068F" w:rsidTr="005D068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Развитие перерабатывающей промышленности и запасы</w:t>
            </w: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b/>
                <w:i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продовольственной продукции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 xml:space="preserve">Повышение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 xml:space="preserve">производственного потенциала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>г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>осударственных предприятий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 xml:space="preserve"> и организаций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материальны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х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ре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зервов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>у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 xml:space="preserve">совершенствование метода управления продовольственных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>запасо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 xml:space="preserve">в,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 xml:space="preserve">системы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>мониторинг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 xml:space="preserve">а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>и обучение специалистов системы государственных материальных ре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>зервов</w:t>
            </w:r>
            <w:proofErr w:type="spellEnd"/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  </w:t>
            </w: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Постоянно,</w:t>
            </w: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промышленности и новых технологий, Агентство по государственным материальным  резервам, Союз "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Точикматлубот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"</w:t>
            </w:r>
          </w:p>
        </w:tc>
      </w:tr>
      <w:tr w:rsidR="005D068F" w:rsidRPr="005D068F" w:rsidTr="005D068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Управление экспорта и импорта продовольственной продукции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С целью повышения эффективности надзора импорта и экспорта продовольственной продукции на потребительском рынке страны: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- создание    передвижных лабораторий продовольственной безопасности в пограничных пропускных пунктах;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-</w:t>
            </w: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создание  и  реконструкция инфраструктуры пунктов  надзора продовольственной безопасности на границе;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-</w:t>
            </w: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создание электронной  базы по импорту и экспорту продовольственной безопасности;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lastRenderedPageBreak/>
              <w:t>-</w:t>
            </w: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повышение профессиональной </w:t>
            </w:r>
            <w:proofErr w:type="gramStart"/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квалификации специалистов отраслей продовольственной безопасности пограничных пропускных пунктов</w:t>
            </w:r>
            <w:proofErr w:type="gramEnd"/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Министерство экономического развития и торговли, Государственный комитет по инвестициям и управлению госимуществом, 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 Агентство по стандартизации, метрологии, сертификации и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lastRenderedPageBreak/>
              <w:t>торговой инспекции, Агентства по экспороту</w:t>
            </w:r>
          </w:p>
        </w:tc>
      </w:tr>
      <w:tr w:rsidR="005D068F" w:rsidRPr="005D068F" w:rsidTr="005D068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lastRenderedPageBreak/>
              <w:t xml:space="preserve">Безопасность продовольственной продукции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Государственное регулирование производства, импорта, обращения и использования ядохимикатов 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2019 год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сельского хозяйства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по охране окружающей среды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Совершенствование Государственного перечня ядохимикатов и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агрохимикатов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, разрешенных  для использования на территории Республики Таджикистан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2019 год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сельского хозяйства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 по охране  окружающей среды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Совершенствование государственного регулирования производства, импорта и использования лекарственных сре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дств дл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я животных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2019 год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продовольствен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-ной безопасности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Подготовка нового перечня ветеринарных средств, ещё большее упрощение процедуры регистрации, перерегистрации и лицензирования производителей, особенно отечественных производителей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10"/>
                <w:szCs w:val="10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2019 год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продовольствен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-ной безопасности,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Академия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сельскохозяйственных наук Таджикистана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Организация деятельности национального центра экспертизы продовольственной безопасности, центров экспертизы продовольственной безопасности в городах и районах и потребительских рынках согласно требованиям Всемирной организации здоровья животных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системы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"НАССР"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(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Система анализа рисков и надзор в надзирательных точках опасности), стандартов ИСО 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22000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и Санитарных  правил и норм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Кодекс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Алиментариус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продовольствен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-ной безопасности,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color w:val="FF0000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Агентство по стандартизации, метрологии, сертификации и торговой инспекции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,</w:t>
            </w:r>
            <w:r w:rsidRPr="005D068F">
              <w:rPr>
                <w:rFonts w:ascii="Times New Roman Tj" w:eastAsia="Times New Roman" w:hAnsi="Times New Roman Tj" w:cs="Times New Roman"/>
                <w:color w:val="FF0000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Академия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сельскохозяйственных наук Таджикистана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Реализация деятельности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 xml:space="preserve">Национального центра экспертизы безопасности продовольствия, центров экспертиз продовольственной  безопасности в городах, районах  и потребительских рынках по техническому регламенту: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-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проведение 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полной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проверки качества молока и мясных продуктов на основании группы показателей безопасности (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органические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показат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ели, плотность, жирность, белок, остаток сухих веществ, влажность, степень оледенения, кислотность, соматические клетки, радиологические показатели, остатки антибиотиков,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бакте-риологические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 инфекции);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-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приобретение   необходимого диагностического оборудования с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цел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ь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ю проведени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я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исследовател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ь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ских работ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и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для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опр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еделения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 опасных заболеваний, в частности лейкозом, сибирской язвой,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листериоз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ом, птичьим гриппом, сильным воспалением кожи; 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-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переоборудование   диа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г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остических центров,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приобретение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современных  оборудовани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й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, диаг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ностических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материалов, необходимых реагентов и переподготовка кадров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;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- создани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е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пе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рв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ичных п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е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р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е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движн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ы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х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лабораторий в пограничных пропускных пунктах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 xml:space="preserve">До  2023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lastRenderedPageBreak/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продовольствен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-ной безопасности,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Агентство по стандартизации, метрологии, сертификации и торговой инспекции</w:t>
            </w:r>
            <w:r w:rsidRPr="005D068F">
              <w:rPr>
                <w:rFonts w:ascii="Times New Roman Tj" w:eastAsia="Times New Roman" w:hAnsi="Times New Roman Tj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D068F" w:rsidRPr="005D068F" w:rsidTr="005D068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lastRenderedPageBreak/>
              <w:t>Обеспечение  здоровья животных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Увеличение финансирования фонда противоэпизоотических  мероприятий путем дополнительного государственного финансирования и привлечения внешней инвестиции международных организаций и доноров   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Министерство финансов,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Государственный комитет по инвестициям и управлению госимуществом,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 целью надзора 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за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передвижениям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животных и своевременной профилактики инфекционных заболеваний, в том числе компании иммунизации (прививок), реализация клеймения животных населениям согласно положениям   постановления Правительства Республики Таджикистан                      от 27 февраля 2010 года, №97                  "О проведении клеймения животных сельского хозяйства в Республике Таджикистан"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Министерства финансов,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сельского хозяйства,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Государственный комитет по инвестициям и управлению госимуществом,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Нахождение источников финансирования для организации изъятия и уничтожения (санитарного убоя) животных, подверженных заболеваниям в соответствии с постановлением Правительства Республики Таджикистан от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3 апрел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я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2012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года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, №156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"О порядке  оплаты компенсации юридическим и частным лицам в результате  конфискации и уничтожении животных  и продукций животного происхождения, опасных для здоровья  животных и людей" 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Министерства финансов, здравоохранения и социальной защиты, Государственный комитет по инвестиции и 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управлении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госимуществом,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Усиление пропаганды  и разъяснительных работ среди населения по вопросам сущности обязательного и добровольного страхования животных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Министерство сельского хозяйства,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 Государственный унитарное предприятие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 xml:space="preserve"> "Т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очиксугурта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"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,</w:t>
            </w:r>
          </w:p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местные исполнительные органы государственной власти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Создание  мест убоя скота в городах и районах согласно требованиям Закона Республики Таджикистан                      "О ветеринарии" с привлечением предпринимателей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 местные исполнительные органы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государственной власти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</w:t>
            </w:r>
          </w:p>
        </w:tc>
      </w:tr>
      <w:tr w:rsidR="005D068F" w:rsidRPr="005D068F" w:rsidTr="005D068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lastRenderedPageBreak/>
              <w:t xml:space="preserve">Обеспечение доступа населения к продовольственной продукции </w:t>
            </w:r>
          </w:p>
        </w:tc>
      </w:tr>
      <w:tr w:rsidR="005D068F" w:rsidRPr="005D068F" w:rsidTr="005D06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Обеспечение  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>устойчиво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</w:rPr>
              <w:t>сть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4"/>
                <w:lang w:val="ky-KG"/>
              </w:rPr>
              <w:t xml:space="preserve"> государственных материальных ценностей </w:t>
            </w: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>Агентства по государственным материальным резервам  при Правительстве Республики Таджикистан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color w:val="C00000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Министерства финансов,   экономического развития и торговли, Агентство по государственным материальным резервам 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</w:p>
        </w:tc>
      </w:tr>
      <w:tr w:rsidR="005D068F" w:rsidRPr="005D068F" w:rsidTr="005D068F">
        <w:trPr>
          <w:trHeight w:val="30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Финансовое поощрение уязвимых групп населения с целью доступа к продовольственной продукции и улучшение навыков получения дополнительных доходов, особенно для сельского населения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До  2023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Министерства финансов, 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5D068F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экономического развития и торговли,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сельского хозяйства, здравоохранения и социальной защиты населения, </w:t>
            </w:r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>омитет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продовольственной безопасности, местные исполнительные органы государственной власти </w:t>
            </w:r>
          </w:p>
        </w:tc>
      </w:tr>
    </w:tbl>
    <w:p w:rsidR="005D068F" w:rsidRPr="005D068F" w:rsidRDefault="005D068F" w:rsidP="005D068F">
      <w:pPr>
        <w:spacing w:after="0" w:line="240" w:lineRule="auto"/>
        <w:rPr>
          <w:rFonts w:ascii="Times New Roman Tj" w:eastAsia="Calibri" w:hAnsi="Times New Roman Tj" w:cs="Times New Roman"/>
          <w:sz w:val="28"/>
        </w:rPr>
      </w:pPr>
      <w:r w:rsidRPr="005D068F">
        <w:rPr>
          <w:rFonts w:ascii="Times New Roman Tj" w:eastAsia="Calibri" w:hAnsi="Times New Roman Tj" w:cs="Times New Roman"/>
          <w:sz w:val="28"/>
          <w:szCs w:val="28"/>
        </w:rPr>
        <w:t xml:space="preserve">  </w:t>
      </w:r>
    </w:p>
    <w:p w:rsidR="005D068F" w:rsidRDefault="005D068F" w:rsidP="004D1C82">
      <w:pPr>
        <w:jc w:val="both"/>
        <w:rPr>
          <w:rFonts w:ascii="Times New Roman" w:hAnsi="Times New Roman" w:cs="Times New Roman"/>
          <w:sz w:val="28"/>
          <w:szCs w:val="28"/>
        </w:rPr>
        <w:sectPr w:rsidR="005D068F" w:rsidSect="004D1C8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5D068F" w:rsidRPr="005D068F" w:rsidRDefault="005D068F" w:rsidP="005D068F">
      <w:pPr>
        <w:spacing w:after="0" w:line="240" w:lineRule="auto"/>
        <w:ind w:left="5387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  <w:r w:rsidRPr="005D068F">
        <w:rPr>
          <w:rFonts w:ascii="Times New Roman Tj" w:eastAsia="Calibri" w:hAnsi="Times New Roman Tj" w:cs="Times New Roman"/>
          <w:sz w:val="28"/>
          <w:szCs w:val="28"/>
        </w:rPr>
        <w:lastRenderedPageBreak/>
        <w:t xml:space="preserve">      </w:t>
      </w:r>
      <w:bookmarkStart w:id="6" w:name="_GoBack"/>
      <w:bookmarkEnd w:id="6"/>
      <w:r w:rsidRPr="005D068F">
        <w:rPr>
          <w:rFonts w:ascii="Times New Roman Tj" w:eastAsia="Calibri" w:hAnsi="Times New Roman Tj" w:cs="Times New Roman"/>
          <w:sz w:val="28"/>
          <w:szCs w:val="28"/>
        </w:rPr>
        <w:t xml:space="preserve">                                                                </w:t>
      </w:r>
      <w:r w:rsidRPr="005D068F">
        <w:rPr>
          <w:rFonts w:ascii="Times New Roman Tj" w:eastAsia="Calibri" w:hAnsi="Times New Roman Tj" w:cs="Times New Roman"/>
          <w:b/>
          <w:sz w:val="28"/>
          <w:szCs w:val="28"/>
        </w:rPr>
        <w:t>Приложение 2</w:t>
      </w:r>
    </w:p>
    <w:p w:rsidR="005D068F" w:rsidRPr="005D068F" w:rsidRDefault="005D068F" w:rsidP="005D068F">
      <w:pPr>
        <w:spacing w:after="0" w:line="240" w:lineRule="auto"/>
        <w:ind w:left="16007" w:hanging="5387"/>
        <w:jc w:val="center"/>
        <w:rPr>
          <w:rFonts w:ascii="Times New Roman Tj" w:eastAsia="Calibri" w:hAnsi="Times New Roman Tj" w:cs="Times New Roman"/>
          <w:b/>
          <w:sz w:val="28"/>
          <w:szCs w:val="24"/>
        </w:rPr>
      </w:pPr>
      <w:r w:rsidRPr="005D068F">
        <w:rPr>
          <w:rFonts w:ascii="Times New Roman Tj" w:eastAsia="Calibri" w:hAnsi="Times New Roman Tj" w:cs="Times New Roman"/>
          <w:sz w:val="28"/>
          <w:szCs w:val="28"/>
        </w:rPr>
        <w:t>Программы безопасности</w:t>
      </w:r>
    </w:p>
    <w:p w:rsidR="005D068F" w:rsidRPr="005D068F" w:rsidRDefault="005D068F" w:rsidP="005D068F">
      <w:pPr>
        <w:spacing w:after="0" w:line="240" w:lineRule="auto"/>
        <w:ind w:left="10620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5D068F">
        <w:rPr>
          <w:rFonts w:ascii="Times New Roman Tj" w:eastAsia="Calibri" w:hAnsi="Times New Roman Tj" w:cs="Times New Roman"/>
          <w:sz w:val="28"/>
          <w:szCs w:val="28"/>
        </w:rPr>
        <w:t>продовольственной продукции</w:t>
      </w:r>
    </w:p>
    <w:p w:rsidR="005D068F" w:rsidRPr="005D068F" w:rsidRDefault="005D068F" w:rsidP="005D068F">
      <w:pPr>
        <w:spacing w:after="0" w:line="240" w:lineRule="auto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5D068F">
        <w:rPr>
          <w:rFonts w:ascii="Times New Roman Tj" w:eastAsia="Times New Roman" w:hAnsi="Times New Roman Tj" w:cs="Times New Roman"/>
          <w:sz w:val="28"/>
          <w:szCs w:val="28"/>
        </w:rPr>
        <w:t>Республики Таджикистан</w:t>
      </w:r>
    </w:p>
    <w:p w:rsidR="005D068F" w:rsidRPr="005D068F" w:rsidRDefault="005D068F" w:rsidP="005D068F">
      <w:pPr>
        <w:spacing w:after="0" w:line="240" w:lineRule="auto"/>
        <w:ind w:left="10620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5D068F">
        <w:rPr>
          <w:rFonts w:ascii="Times New Roman Tj" w:eastAsia="Calibri" w:hAnsi="Times New Roman Tj" w:cs="Times New Roman"/>
          <w:sz w:val="28"/>
          <w:szCs w:val="28"/>
        </w:rPr>
        <w:t>на  2019-2023 годы</w:t>
      </w:r>
    </w:p>
    <w:p w:rsidR="005D068F" w:rsidRPr="005D068F" w:rsidRDefault="005D068F" w:rsidP="005D068F">
      <w:pPr>
        <w:spacing w:after="0" w:line="240" w:lineRule="auto"/>
        <w:jc w:val="right"/>
        <w:rPr>
          <w:rFonts w:ascii="Times New Roman Tj" w:eastAsia="Calibri" w:hAnsi="Times New Roman Tj" w:cs="Times New Roman"/>
          <w:b/>
          <w:sz w:val="32"/>
          <w:szCs w:val="32"/>
        </w:rPr>
      </w:pPr>
    </w:p>
    <w:p w:rsidR="005D068F" w:rsidRPr="005D068F" w:rsidRDefault="005D068F" w:rsidP="005D068F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  <w:r w:rsidRPr="005D068F">
        <w:rPr>
          <w:rFonts w:ascii="Times New Roman Tj" w:eastAsia="Calibri" w:hAnsi="Times New Roman Tj" w:cs="Times New Roman"/>
          <w:b/>
          <w:sz w:val="28"/>
          <w:szCs w:val="28"/>
        </w:rPr>
        <w:t xml:space="preserve">Прогноз </w:t>
      </w:r>
    </w:p>
    <w:p w:rsidR="005D068F" w:rsidRPr="005D068F" w:rsidRDefault="005D068F" w:rsidP="005D068F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  <w:r w:rsidRPr="005D068F">
        <w:rPr>
          <w:rFonts w:ascii="Times New Roman Tj" w:eastAsia="Calibri" w:hAnsi="Times New Roman Tj" w:cs="Times New Roman"/>
          <w:b/>
          <w:sz w:val="28"/>
          <w:szCs w:val="28"/>
        </w:rPr>
        <w:t xml:space="preserve">источников финансирования Программы  безопасности продовольственной </w:t>
      </w:r>
    </w:p>
    <w:p w:rsidR="005D068F" w:rsidRPr="005D068F" w:rsidRDefault="005D068F" w:rsidP="005D068F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  <w:r w:rsidRPr="005D068F">
        <w:rPr>
          <w:rFonts w:ascii="Times New Roman Tj" w:eastAsia="Calibri" w:hAnsi="Times New Roman Tj" w:cs="Times New Roman"/>
          <w:b/>
          <w:sz w:val="28"/>
          <w:szCs w:val="28"/>
        </w:rPr>
        <w:t xml:space="preserve">продукции </w:t>
      </w:r>
      <w:r w:rsidRPr="005D068F">
        <w:rPr>
          <w:rFonts w:ascii="Times New Roman Tj" w:eastAsia="Times New Roman" w:hAnsi="Times New Roman Tj" w:cs="Times New Roman"/>
          <w:b/>
          <w:sz w:val="28"/>
          <w:szCs w:val="28"/>
        </w:rPr>
        <w:t xml:space="preserve">Республики Таджикистан </w:t>
      </w:r>
      <w:r w:rsidRPr="005D068F">
        <w:rPr>
          <w:rFonts w:ascii="Times New Roman Tj" w:eastAsia="Calibri" w:hAnsi="Times New Roman Tj" w:cs="Times New Roman"/>
          <w:b/>
          <w:sz w:val="28"/>
          <w:szCs w:val="28"/>
        </w:rPr>
        <w:t>на 2019-2023 годы</w:t>
      </w:r>
    </w:p>
    <w:p w:rsidR="005D068F" w:rsidRPr="005D068F" w:rsidRDefault="005D068F" w:rsidP="005D068F">
      <w:pPr>
        <w:spacing w:after="0" w:line="240" w:lineRule="auto"/>
        <w:jc w:val="right"/>
        <w:rPr>
          <w:rFonts w:ascii="Times New Roman Tj" w:eastAsia="Calibri" w:hAnsi="Times New Roman Tj" w:cs="Times New Roman"/>
          <w:b/>
          <w:sz w:val="24"/>
          <w:szCs w:val="24"/>
        </w:rPr>
      </w:pPr>
      <w:r w:rsidRPr="005D068F">
        <w:rPr>
          <w:rFonts w:ascii="Times New Roman Tj" w:eastAsia="Calibri" w:hAnsi="Times New Roman Tj" w:cs="Times New Roman"/>
          <w:sz w:val="24"/>
          <w:szCs w:val="24"/>
        </w:rPr>
        <w:t xml:space="preserve">              </w:t>
      </w:r>
      <w:r w:rsidRPr="005D068F">
        <w:rPr>
          <w:rFonts w:ascii="Times New Roman Tj" w:eastAsia="Calibri" w:hAnsi="Times New Roman Tj" w:cs="Times New Roman"/>
          <w:b/>
          <w:sz w:val="24"/>
          <w:szCs w:val="24"/>
        </w:rPr>
        <w:t xml:space="preserve">  (миллион </w:t>
      </w:r>
      <w:proofErr w:type="spellStart"/>
      <w:r w:rsidRPr="005D068F">
        <w:rPr>
          <w:rFonts w:ascii="Times New Roman Tj" w:eastAsia="Calibri" w:hAnsi="Times New Roman Tj" w:cs="Times New Roman"/>
          <w:b/>
          <w:sz w:val="24"/>
          <w:szCs w:val="24"/>
        </w:rPr>
        <w:t>сомони</w:t>
      </w:r>
      <w:proofErr w:type="spellEnd"/>
      <w:r w:rsidRPr="005D068F">
        <w:rPr>
          <w:rFonts w:ascii="Times New Roman Tj" w:eastAsia="Calibri" w:hAnsi="Times New Roman Tj" w:cs="Times New Roman"/>
          <w:b/>
          <w:sz w:val="24"/>
          <w:szCs w:val="24"/>
        </w:rPr>
        <w:t>)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992"/>
        <w:gridCol w:w="851"/>
        <w:gridCol w:w="850"/>
        <w:gridCol w:w="993"/>
        <w:gridCol w:w="850"/>
        <w:gridCol w:w="851"/>
        <w:gridCol w:w="850"/>
        <w:gridCol w:w="851"/>
        <w:gridCol w:w="708"/>
        <w:gridCol w:w="851"/>
        <w:gridCol w:w="850"/>
        <w:gridCol w:w="851"/>
        <w:gridCol w:w="850"/>
      </w:tblGrid>
      <w:tr w:rsidR="005D068F" w:rsidRPr="005D068F" w:rsidTr="005D068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Необходимые финансовые средства</w:t>
            </w:r>
          </w:p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Г о д ы</w:t>
            </w:r>
          </w:p>
        </w:tc>
      </w:tr>
      <w:tr w:rsidR="005D068F" w:rsidRPr="005D068F" w:rsidTr="005D068F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За счет вне бюджетных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D068F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D068F">
              <w:rPr>
                <w:rFonts w:ascii="Bookman Old Style" w:eastAsia="Times New Roman" w:hAnsi="Bookman Old Style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D068F">
              <w:rPr>
                <w:rFonts w:ascii="Bookman Old Style" w:eastAsia="Times New Roman" w:hAnsi="Bookman Old Style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D068F">
              <w:rPr>
                <w:rFonts w:ascii="Bookman Old Style" w:eastAsia="Times New Roman" w:hAnsi="Bookman Old Style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D068F">
              <w:rPr>
                <w:rFonts w:ascii="Bookman Old Style" w:eastAsia="Times New Roman" w:hAnsi="Bookman Old Style" w:cs="Times New Roman"/>
                <w:sz w:val="24"/>
                <w:szCs w:val="24"/>
              </w:rPr>
              <w:t>2023</w:t>
            </w:r>
          </w:p>
        </w:tc>
      </w:tr>
      <w:tr w:rsidR="005D068F" w:rsidRPr="005D068F" w:rsidTr="005D068F">
        <w:trPr>
          <w:cantSplit/>
          <w:trHeight w:val="15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За счет вне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За счет вне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За счет вне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За счет вне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За счет вне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0"/>
                <w:szCs w:val="20"/>
              </w:rPr>
            </w:pPr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5D068F">
              <w:rPr>
                <w:rFonts w:ascii="Times New Roman Tj" w:eastAsia="Times New Roman" w:hAnsi="Times New Roman Tj" w:cs="Times New Roman"/>
                <w:sz w:val="20"/>
                <w:szCs w:val="20"/>
              </w:rPr>
              <w:t xml:space="preserve"> бюджета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Создание запасного резерва химических веще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ств дл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я  борьбы против вредных организмов за счет собственных средств и доноров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Создание карантинных участков  для изучения и определения существования вредных карантинных организмов в саженцах и зернах, импортируемых из 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за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рубежа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Создания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фумигационных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камер           в   городе    Душанбе   и  в  областях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Проведение разъяснительных  работ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 xml:space="preserve">среди населения, предприятий, организаций и предпринимателей для своевременной прополки трав  в случаях выявления  насекомых и карантинных заболеваний, а также постоянный надзор над посевами, древонасаждениями, садов, виноградарством, лесов, садов и скверов, зон окрестностей складов и предприятий, в 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котором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содержатся и перерабатываются продукты питания и зерновые сельскохозяйственной культуры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0,1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С целью повышения эффективности надзора за импортом и экспортом продовольственной продукции на потребительском рынке страны: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- создание    передвижных лабораторий продовольственной безопасности в пограничных пропускных участках;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-</w:t>
            </w: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  <w:lang w:val="ky-KG"/>
              </w:rPr>
              <w:t xml:space="preserve"> </w:t>
            </w: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создание  и реконструкция инфраструктуры участков  надзора продовольственной безопасности на границе;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-</w:t>
            </w: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  <w:lang w:val="ky-KG"/>
              </w:rPr>
              <w:t xml:space="preserve"> </w:t>
            </w: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создание электронной  базы данных по импорту и экспорту продовольственной безопасности</w:t>
            </w:r>
            <w:proofErr w:type="gramStart"/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 xml:space="preserve"> ;</w:t>
            </w:r>
            <w:proofErr w:type="gramEnd"/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-</w:t>
            </w: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  <w:lang w:val="ky-KG"/>
              </w:rPr>
              <w:t xml:space="preserve"> </w:t>
            </w: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 xml:space="preserve">повышение  профессиональной </w:t>
            </w:r>
            <w:proofErr w:type="gramStart"/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квалификации специалистов отраслей продовольственной безопасности пограничных пропускных пунктов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Государственное регулирование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 xml:space="preserve">производства, импорта, обращения и использования ядохимикатов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lastRenderedPageBreak/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0,3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Совершенствование Государственного перечня ядохимикатов и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агрохимикатов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, разрешенных к использованию на территории Республики Таджикистан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Совершенствование государственного регулирования производства, импорта и использования лекарственных сре</w:t>
            </w:r>
            <w:proofErr w:type="gram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дств дл</w:t>
            </w:r>
            <w:proofErr w:type="gram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я животных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Подготовка нового перечня ветеринарных средств, ещё большее упрощение процедуры регистрации, перерегистрации и лицензирования производителей, особенно отечественных производителей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Организация деятельности национального центра экспертизы продовольственной безопасности, центров экспертизы продовольственной безопасности в городах и районах и потребительских рынках согласно требованиям Всемирной организации здоровья животных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,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системы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"НАССР"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(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Система анализа рисков и надзор в надзирательных точках опасности),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 xml:space="preserve">стандартов ИСО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22000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и Санитарных правил  и норм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Кодекс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а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Алиментариус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i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ky-KG"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Реализация деятельности Национального центра экспертизы безопасности продовольствия, центров экспертиз продовольственной  безопасности в городах, районах  и потребительских рынках по техническому регламенту: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-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проведение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полной проверки качества молока и мясных продуктов на основании группы показателей безопасности (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органических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показат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елей, плотности, жирности, белков, остатков сухих веществ, влажности, степени оледенения, кислотности, соматических клеток, 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радиологически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показателей, остатка антибиотиков, бактериологических  инфекции) ;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-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приобретение необходимого диагностического оборудования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с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цел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ь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ю проведени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я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исследовател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ь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ских работ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и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для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опр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еделения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 опасных заболеваний, в частности лейкозом, сибирской язвой,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листериоз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ом, птичьим гриппом, сильное воспаление кожи; 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- переоборудование   диа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г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остических центров, покупка современных  оборудовани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й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, диаг</w:t>
            </w:r>
            <w:proofErr w:type="spellStart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ностических</w:t>
            </w:r>
            <w:proofErr w:type="spellEnd"/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материалов, необходимых реагентов и переподготовка кадров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;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- создани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е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п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о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вичных п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е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р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е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движн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ы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х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лабораторий в пограничных пропускных пунктах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lastRenderedPageBreak/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0,8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>Увеличение финансирования фонда противоэпизоотических  мероприятий путем дополнительного государственного финансирования и привлечения внешнего инвестирования международных организаций и доноров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4,0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С целью надзора передвижения животных и своевременной профилактики инфекционных заболеваний, в том числе               компании иммунизации (прививок), реализация клеймения животных населением согласно положениям   постановления Правительства Республики Таджикистан от                     27 февраля 2010 года, №97                      "О проведении клеймения  животных сельского хозяйства в Республике Таджикистан" 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</w:rPr>
            </w:pPr>
          </w:p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Привлечение источников финансирования для организации изъятия и уничтожения (санитарного убоя) животных, подверженных заболеваниям в соответствии с постановлением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Правительства Республики Таджикистан от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 xml:space="preserve"> 3 апрел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я 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2012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года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  <w:lang w:val="ky-KG"/>
              </w:rPr>
              <w:t>, №156</w:t>
            </w: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"О порядке  оплаты компенсации юридическим и частным лицам в результате  изъятия  и уничтожении животных  и продукций животного происхождения, опасных для здоровья  животных и людей"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Усиление пропаганды и разъяснительных работ среди населения по вопросам сущности обязательного и добровольного страхования животных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Создание мест для убоя скота в городах и районах согласно требованиям Закона Республики Таджикистан "О ветеринарии" с привлечением предпринимателей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  <w:r w:rsidRPr="005D068F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8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Calibri" w:hAnsi="Times New Roman Tj" w:cs="Times New Roman"/>
                <w:sz w:val="24"/>
                <w:szCs w:val="24"/>
              </w:rPr>
            </w:pP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 xml:space="preserve">Финансовое поощрение уровня дохода уязвимых групп населения с целью доступа к продовольственной продукции и улучшения </w:t>
            </w:r>
            <w:proofErr w:type="gramStart"/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на</w:t>
            </w:r>
            <w:proofErr w:type="gramEnd"/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 xml:space="preserve"> </w:t>
            </w:r>
            <w:proofErr w:type="gramStart"/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>навыков</w:t>
            </w:r>
            <w:proofErr w:type="gramEnd"/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 xml:space="preserve"> получения дополнительных доходов, особенно для сельского населения </w:t>
            </w:r>
          </w:p>
          <w:p w:rsidR="005D068F" w:rsidRPr="005D068F" w:rsidRDefault="005D068F" w:rsidP="005D068F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10"/>
                <w:szCs w:val="10"/>
                <w:lang w:val="ky-KG"/>
              </w:rPr>
            </w:pPr>
            <w:r w:rsidRPr="005D068F">
              <w:rPr>
                <w:rFonts w:ascii="Times New Roman Tj" w:eastAsia="Calibri" w:hAnsi="Times New Roman T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5D068F">
              <w:rPr>
                <w:rFonts w:ascii="Bookman Old Style" w:eastAsia="Times New Roman" w:hAnsi="Bookman Old Style" w:cs="Times New Roman"/>
                <w:sz w:val="28"/>
                <w:szCs w:val="28"/>
              </w:rPr>
              <w:t>-</w:t>
            </w:r>
          </w:p>
        </w:tc>
      </w:tr>
      <w:tr w:rsidR="005D068F" w:rsidRPr="005D068F" w:rsidTr="005D0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rPr>
                <w:rFonts w:ascii="Times New Roman Tj" w:eastAsia="Calibri" w:hAnsi="Times New Roman Tj" w:cs="Times New Roman"/>
                <w:b/>
                <w:sz w:val="24"/>
                <w:szCs w:val="24"/>
              </w:rPr>
            </w:pPr>
            <w:r w:rsidRPr="005D068F">
              <w:rPr>
                <w:rFonts w:ascii="Times New Roman Tj" w:eastAsia="Calibri" w:hAnsi="Times New Roman Tj" w:cs="Times New Roman"/>
                <w:b/>
                <w:sz w:val="24"/>
                <w:szCs w:val="24"/>
              </w:rPr>
              <w:t xml:space="preserve">     В С Е Г 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72,5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8F" w:rsidRPr="005D068F" w:rsidRDefault="005D068F" w:rsidP="005D0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</w:pPr>
            <w:r w:rsidRPr="005D068F">
              <w:rPr>
                <w:rFonts w:ascii="Bookman Old Style" w:eastAsia="Times New Roman" w:hAnsi="Bookman Old Style" w:cs="Times New Roman"/>
                <w:b/>
                <w:sz w:val="27"/>
                <w:szCs w:val="27"/>
              </w:rPr>
              <w:t>5,7</w:t>
            </w:r>
          </w:p>
        </w:tc>
      </w:tr>
    </w:tbl>
    <w:p w:rsidR="005D068F" w:rsidRPr="005D068F" w:rsidRDefault="005D068F" w:rsidP="005D068F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</w:rPr>
      </w:pPr>
    </w:p>
    <w:p w:rsidR="005D068F" w:rsidRPr="005D068F" w:rsidRDefault="005D068F" w:rsidP="005D068F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</w:rPr>
      </w:pPr>
    </w:p>
    <w:p w:rsidR="00D51C75" w:rsidRPr="004D1C82" w:rsidRDefault="00D51C75" w:rsidP="004D1C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4D1C82" w:rsidSect="005D068F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B0"/>
    <w:rsid w:val="004D1C82"/>
    <w:rsid w:val="004E45A0"/>
    <w:rsid w:val="005D068F"/>
    <w:rsid w:val="007D014E"/>
    <w:rsid w:val="00804D35"/>
    <w:rsid w:val="00893B3E"/>
    <w:rsid w:val="00CC39B0"/>
    <w:rsid w:val="00D51C75"/>
    <w:rsid w:val="00E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6203" TargetMode="External"/><Relationship Id="rId13" Type="http://schemas.openxmlformats.org/officeDocument/2006/relationships/hyperlink" Target="vfp://rgn=1153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rgn=130563" TargetMode="External"/><Relationship Id="rId12" Type="http://schemas.openxmlformats.org/officeDocument/2006/relationships/hyperlink" Target="vfp://rgn=562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vfp://rgn=131338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9072" TargetMode="External"/><Relationship Id="rId11" Type="http://schemas.openxmlformats.org/officeDocument/2006/relationships/hyperlink" Target="vfp://rgn=16054" TargetMode="External"/><Relationship Id="rId5" Type="http://schemas.openxmlformats.org/officeDocument/2006/relationships/hyperlink" Target="vfp://rgn=132565" TargetMode="External"/><Relationship Id="rId15" Type="http://schemas.openxmlformats.org/officeDocument/2006/relationships/hyperlink" Target="vfp://rgn=116683" TargetMode="External"/><Relationship Id="rId10" Type="http://schemas.openxmlformats.org/officeDocument/2006/relationships/hyperlink" Target="vfp://rgn=16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6059" TargetMode="External"/><Relationship Id="rId14" Type="http://schemas.openxmlformats.org/officeDocument/2006/relationships/hyperlink" Target="vfp://rgn=15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9527</Words>
  <Characters>54308</Characters>
  <Application>Microsoft Office Word</Application>
  <DocSecurity>0</DocSecurity>
  <Lines>452</Lines>
  <Paragraphs>127</Paragraphs>
  <ScaleCrop>false</ScaleCrop>
  <Company/>
  <LinksUpToDate>false</LinksUpToDate>
  <CharactersWithSpaces>63708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2018-11-16T06:04:00Z</dcterms:created>
  <dcterms:modified xsi:type="dcterms:W3CDTF">2018-11-16T06:12:00Z</dcterms:modified>
</cp:coreProperties>
</file>