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07" w:rsidRPr="00960905" w:rsidRDefault="009F5D07" w:rsidP="0096090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 </w:t>
      </w:r>
    </w:p>
    <w:p w:rsidR="009F5D07" w:rsidRPr="00960905" w:rsidRDefault="009F5D07" w:rsidP="0096090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Утверждена </w:t>
      </w:r>
    </w:p>
    <w:p w:rsidR="009F5D07" w:rsidRPr="00960905" w:rsidRDefault="00CC5787" w:rsidP="0096090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6" w:tooltip="Ссылка на Пост. Правительства РТ О Государственной программе охраны историко-культурного наследия на 2021-2025 годы" w:history="1">
        <w:r w:rsidR="009F5D07" w:rsidRPr="00960905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 Правительства</w:t>
        </w:r>
      </w:hyperlink>
      <w:r w:rsidR="009F5D07"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F5D07" w:rsidRPr="00960905" w:rsidRDefault="009F5D07" w:rsidP="0096090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9F5D07" w:rsidRPr="00960905" w:rsidRDefault="009F5D07" w:rsidP="0096090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от 1 мая 2020 года, №253 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A5RS0I0WVR"/>
      <w:bookmarkEnd w:id="0"/>
      <w:r w:rsidRPr="0096090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Государственная программа охраны историко-культурного наследия на 2021-2025 годы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A5RS0I11WQ"/>
      <w:bookmarkEnd w:id="1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1. Государственная программа охраны историко-культурного наследия на 2021-2025 годы (далее - Программа) предусмотрена для реализации необходимых мер по укреплению историко-культурного наследия и совершенствования законодательной базы деятельности исторических и культурных организаций во взаимодействии, с соответствующими министерствами и ведомствами, исполнительными органами государственной власти Горно-Бадахшанской автономной области, областей, города Душанбе, городов и районов.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2. Настоящая Программа разработана с целью повышения чувства национальной гордости, самосознания, любви к родине и почитания великих достижений древности, ознакомления современного мира с историей и культурой древнего таджикского народа, а также реализации культурной политики Правительства Республики Таджикистан по охране памятников историко-культурного наследия.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3. Ответственным органом за выполнение Государственной программы охраны историко-культурного наследия на 2021-2025 годы является Министерство культуры Республики Таджикистан (далее - уполномоченный государственный орган), реализующее задачи реставрации и восстановления памятников историко-культурного наследия в стране.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A5RS0I1EUG"/>
      <w:bookmarkEnd w:id="2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АНАЛИЗ СОСТОЯНИЯ ИСТОРИКО-КУЛЬТУРНОГО НАСЛЕДИЯ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4. Правительство Республики Таджикистан выполняет огромную работу в направлении изучения и представления истории, культуры и древней цивилизации таджиков, как на внутреннем, так и на международном уровне. В Послании Президента Республики Таджикистан "Об основных направлениях внутренней и внешней политики республики" от 26 декабря 2018 года по возрождению истории и культуры таджикской нации было отмечено, что: "Нам необходимо охранять наши исторические памятники, благоустраивать их, относиться к ним как к составной части исторической судьбы нашей древней нации. Это наш долг перед историей и будущими поколениями".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5. В настоящее время в связи с восполнением культурного пространства страны возрастает потребность в защите и сохранении уникальных памятников материального наследия таджикского народа. Вместе с тем, Президент Республики Таджикистан объявил 2019-2021 годы "Годами развития села, </w:t>
      </w: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туризма и народных ремесел", что позволит создать благоприятные условия для защиты и использования памятников национального материального наследия и обеспечить их сохранение для будущих поколений.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6. Программа направлена на сохранение и охрану памятников недвижимого историко-культурного наследия страны.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7. Исторические памятники Республики Таджикистан уже давно притягивают к себе внимание всего мира. После обретения независимости, ежегодно большинство иностранных туристов посещают Таджикистан с целью ознакомления с историческими и культурными памятниками, неповторимой природой страны, восхищаются богатым многообразным наследием, ближе знакомятся с древней и современной историей таджикского народа.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8. Охрана и сохранение этого наследия является одной из важнейших направлений культурной политики Правительства Республики Таджикистан и ему уделяется особое внимание. На протяжении 28 лет независимости страны, вместе с принятием необходимых мер для охраны памятников и проведения восстановительных работ и благоустройства только за счет бюджета страны было охвачено более 90 древних архитектурных памятников.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9.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В этой связи, для совершенствования правовых норм по охране памятников историко-культурного наследия страны были приняты Закон Республики Таджикистан "О защите и использовании объектов историко-культурного наследия и для его осуществления ряд постановлений Правительства Республики Таджикистан, в результате которых многие правовые аспекты данных вопросов нашли своё решение, Кроме того, долгосрочное и плодотворное сотрудничество с соответствующими международными организациями позволило занять устойчивую позицию в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этой отрасли,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ЮНЕСКО 5500-летия древнего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Саразма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одного из уникальных памятников Центральной Азии и включение городища Древний Пенджикент, городища Древний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Бунджикат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, город Гиссар, буддийского монастыря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Аджииатеппа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, медресе Ходжа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Машхад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, городищ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Тахти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Сангин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Хулъбук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, крепости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Ямчун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других в список уникальных объектов Великого шелкового пути свидетельствует о древней истории и цивилизации таджикского народа.</w:t>
      </w:r>
      <w:proofErr w:type="gramEnd"/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11. Несмотря на все эти достижения, темпы реставрации и восстановления исторических и культурных объектов требуют серьёзного улучшения. Прежде всего, использование земель памятников для различного строительства, создание кладбищ на их территории, преобразование их в посевные земли или сады, непринятие должных мер после проведенных научных исследований или в результате природных катаклизмов нанесения им вреда являются основными факторами утери исторической значимости объектов или их полного уничтожения.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Основной причиной возникновения таких ситуаций является </w:t>
      </w:r>
      <w:proofErr w:type="spell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непроявление</w:t>
      </w:r>
      <w:proofErr w:type="spell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необходимого внимания руководства некоторых городов и районов и низкий </w:t>
      </w: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уровень культурной просвещенности некоторой части общественности, что усугубляет состояние объектов историко-культурного наследия, в том числе исторических и культурных памятников, независимо от формы собственности. Настоящая Программа может сыграть важную роль в регулировании и продуктивной деятельности упомянутого органа.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13. В настоящее время Министерством культуры Республики Таджикистан зарегистрировано в совокупности 3413 исторических и культурных памятников, из которых 2408 древние памятники, 798 - архитектурные и 441 монументальные.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14. В большинстве городов и районов на картах объектов землеустройства эти памятники и их охраняемые территории в целом не зарегистрированы. Из этого следует, что полная перерегистрация памятников и их классификация по изучению, ремонту и реставрации при необходимости, их сохранение и восстановление, поиск правильных методов охраны, эффективное использование и представление этих объектов мировому сообществу являются требованиями современности, которые должны быть осуществлены посредством настоящей Программы.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A5RS0I26V4"/>
      <w:bookmarkEnd w:id="3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ОСНОВНЫЕ НАПРАВЛЕНИЯ РЕАЛИЗАЦИИ ПРОГРАММЫ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15. В соответствии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внутренними нормативными правовыми актами и международными требованиями необходима подготовка инфраструктуры памятников недвижимого историко-культурного наследия республиканского и международного значения, включенных в Каталог исторических и культурных памятников Республики Таджикистан: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определение охраняемых территорий историко-культурного наследия и порядок их использования в соответствии с законодательством; составление карты памятников историко-культурного наследия национального и международного значения в Республике Таджикистан;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обеспечение сферы профессиональными специалистами и современными техническими средствами;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широкое использование исторических и культурных памятников в нравственном воспитании граждан, особенно молодежи и юношей и привлечение международного туризма;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внесение уникальных историко-культурных памятников страны в список ЮНЕСКО и разработка необходимых документов и актов с привлечением отечественных и иностранных инвестиций;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разработка и издание маршрутов по историко-культурным памятникам, путеводителей и баннеров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спользование средств массовой информации в этом направлении достойное представление памятников историко-культурного наследия гражданам страны и зарубежным гостям.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A5RS0I2I3N"/>
      <w:bookmarkEnd w:id="4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ЦЕЛИ И ЗАДАЧИ ПРОГРАММЫ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16.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Целями Программы является регулирование вопросов охраны и правильного использования недвижимого историко-культурного наследия в республике, определите юридического статуса каждого памятника, принятие безотлагательных мер по его правовой защите, изыскание путей правильного и эффективного использования каждого объекта, их пропаганда и внесение всемирного культурного наследия, принятие необходимых мер по эффективной реализации культурной политики Правительства Республики Таджикистан и осуществление принятых нормативных правовых актов Республики Таджикистан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в данной сфере.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17. Основными задачами настоящей Программы являются: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представление истории и культуры древнего таджикского народа современному миру;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создание материально-технической базы исторических и культурных памятников;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- повышение чувства национальной гордости, самосознания, любви к родине; 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почитание великих достижений древности;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реализация культурной политики Правительства Республики Таджикистан по охране памятников историко-культурного наследия.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18. Историко-культурный туризм, где, прежде всего, особое место занимают памятники недвижимого историко-культурного наследия, является одним из важных направлений сферы и играет важную роль в привлечении любителей древней истории и культуры. С этой точки зрения, создание соответствующей инфраструктуры является одной из важных задач Программы.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A5RS0I2SSM"/>
      <w:bookmarkEnd w:id="5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КАДРОВОЕ ОБЕСПЕЧЕНИЕ И ПОВЫШЕНИЕ КВАЛИФИКАЦИИ РАБОТНИКОВ СФЕРЫ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19. Кадровое обеспечение сферы осуществляется посредством привлечения студентов отраслевых учреждений высшего профессионального образования по взаимодействии с уполномоченным государственным органом по охране и использованию объектов историко-культурного наследия, в том числе проведение международных, региональных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республиканских научно-практических мероприятий, совершенствующих знания и навыки работников сферы.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20. В целях подготовки инспекторов по охране памятников принимаются следующие меры: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организация централизованной системы повышения квалификации, подготовка и утверждение нормативных правовых актов сферы;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совершенствование материально-технической, информационной, учебной, методической и кадровой базы системы повышения квалификации и переподготовки специалистов;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развитие научно-исследовательских работ с целью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выявления эффективных путей повышения профессионального мастерства работников сферы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A5RS0I3QYO"/>
      <w:bookmarkEnd w:id="6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ФИНАНСИРОВАНИЕ ПРОГРАММЫ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21. Финансирование настоящей Программы производится из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средств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в республиканском и местном бюджете для сферы культуры, специальных средств и за счёт финансирования партнёров по развитию, а также привлечения иностранных инвестиций, грантов и других внебюджетных источников, не запрещенных законодательством Республики Таджикистан.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22. Срок реализации настоящей Программы охватывает 2021-2025 годы и её план мероприятий, выдвинутые цели и задачи осуществляются в указанный срок.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A5RS0I3VAX"/>
      <w:bookmarkEnd w:id="7"/>
      <w:r w:rsidRPr="00960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РЕЗУЛЬТАТЫ РЕАЛИЗАЦИИ ПРОГРАММЫ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23. В результате полной реализации настоящей Программы вопрос охраны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использования историко-культурного наследия в республике будет включен в порядок и систему, отвечающие международным требованиям, создав благоприятные условия для использования этого бо1атого наследия в патриотическом воспитании, повышении самосознания таджикского народа и ознакомлении мировой общественности с его историческими достижениями. Появится возможность восстановления и реставрации утраченных частей памятников историко-культурного наследия и представления их будущим поколениям в первоначальном историческом виде. Научное изучение этого наследия, как продукта искусства и высокого мастерства наших предков и его использование на современном этапе, создадут благоприятную основу для восприятия истории и культуры, сохранения и уважения традиций предков.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24. Настоящая Программа подготавливает процесс регулирования вопросов охраны и использования историко-культурного наследия в республике в соответствии с порядком и системой, отвечающими международным требованиям и создаёт благоприятные условия для использования бесценного наследия в патриотическом воспитании и самопознании таджикского парода и представлении его исторических достижений мировому сообществу.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25. Благодаря возрождению памятников древней архитектуры и градостроительства для эффективного налаживания внутреннего и международного культурного туризма и выгодного использования памятников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будут созданы благоприятные условия и появится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возможность увеличения государственного бюджета страны.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26. 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сохранением и использованием памятников будет отвечать современным требованиям, еще более окрепнут отраслевые связи с другими странами и соответствующими международными организациями.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27. Для достижения целей реализации Программы необходимо принятие следующих мер: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- перерегистрация и сертификация объектов во взаимодействии с местными исполнительными органами государственной власти; 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налаживание учебно-исследовательских, реставрационных и восстановительных работ па основе современных передовых достижений;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возрождение национальных архитектурных школ и широкое использование знаний предков в реставрационной и восстановительной деятельности на памятниках;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пропагандирована исторических и культурных памятников как бесценного и священного наследия предков, их почитание, правильная охрана и эксплуатация; 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создание штатных единиц инспекторов по защите памятников на местах;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создание электронного архива исторических и культурных памятников Республики Таджикистан и его включение в единую сеть всемирного культурного наследия;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определение охраняемых мест и установка знаков на исторических и культурных памятниках, включенных в Национальный каталог нематериального культурного наследия;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эффективное взаимодействие с соответствующими организациями</w:t>
      </w:r>
      <w:proofErr w:type="gramStart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Б</w:t>
      </w:r>
      <w:proofErr w:type="gramEnd"/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направлении охраны и использования исторических и культурных памятников;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подготовка проектов и внесение в список ЮНЕСКО ранее зарегистрированных памятников в соответствии с международными требованиями;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совершенствование структуры охраны и использования исторических памятников;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обеспечение широкого доступа различных слоев населения к традиционным и современным культурным ценностям; 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905">
        <w:rPr>
          <w:rFonts w:ascii="Times New Roman" w:eastAsia="Times New Roman" w:hAnsi="Times New Roman"/>
          <w:sz w:val="26"/>
          <w:szCs w:val="26"/>
          <w:lang w:eastAsia="ru-RU"/>
        </w:rPr>
        <w:t>- укрепление эффективной инфраструктуры материальной культуры, материально-технической базы организаций, занимающихся защитой и возрождением традиционной культуры.</w:t>
      </w:r>
    </w:p>
    <w:p w:rsidR="009F5D07" w:rsidRPr="00960905" w:rsidRDefault="009F5D07" w:rsidP="009F5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F5D07" w:rsidRPr="00960905" w:rsidSect="009F5D07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F5D07" w:rsidRPr="00960905" w:rsidRDefault="009F5D07" w:rsidP="00CC5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-6" w:firstLine="57"/>
        <w:jc w:val="right"/>
        <w:rPr>
          <w:rFonts w:ascii="Times New Roman Tj" w:hAnsi="Times New Roman Tj"/>
          <w:i/>
          <w:sz w:val="28"/>
          <w:szCs w:val="28"/>
        </w:rPr>
      </w:pPr>
      <w:r w:rsidRPr="00960905">
        <w:rPr>
          <w:rFonts w:ascii="Times New Roman Tj" w:hAnsi="Times New Roman Tj"/>
          <w:i/>
          <w:sz w:val="28"/>
          <w:szCs w:val="28"/>
        </w:rPr>
        <w:lastRenderedPageBreak/>
        <w:t>Проект</w:t>
      </w:r>
    </w:p>
    <w:p w:rsidR="009F5D07" w:rsidRPr="00960905" w:rsidRDefault="009F5D07" w:rsidP="00CC5787">
      <w:pPr>
        <w:autoSpaceDE w:val="0"/>
        <w:autoSpaceDN w:val="0"/>
        <w:adjustRightInd w:val="0"/>
        <w:spacing w:after="0" w:line="240" w:lineRule="auto"/>
        <w:ind w:left="57" w:firstLine="57"/>
        <w:jc w:val="right"/>
        <w:rPr>
          <w:rFonts w:ascii="Times New Roman Tj" w:hAnsi="Times New Roman Tj"/>
          <w:bCs/>
          <w:sz w:val="28"/>
          <w:szCs w:val="28"/>
          <w:lang w:eastAsia="ru-RU"/>
        </w:rPr>
      </w:pPr>
      <w:r w:rsidRPr="00960905">
        <w:rPr>
          <w:rFonts w:ascii="Times New Roman Tj" w:hAnsi="Times New Roman Tj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Приложение 2</w:t>
      </w:r>
    </w:p>
    <w:p w:rsidR="009F5D07" w:rsidRPr="00960905" w:rsidRDefault="009F5D07" w:rsidP="00CC5787">
      <w:pPr>
        <w:autoSpaceDE w:val="0"/>
        <w:autoSpaceDN w:val="0"/>
        <w:adjustRightInd w:val="0"/>
        <w:spacing w:after="0" w:line="240" w:lineRule="auto"/>
        <w:ind w:left="9969" w:firstLine="651"/>
        <w:jc w:val="right"/>
        <w:rPr>
          <w:rFonts w:ascii="Times New Roman Tj" w:hAnsi="Times New Roman Tj"/>
          <w:bCs/>
          <w:sz w:val="28"/>
          <w:szCs w:val="28"/>
          <w:lang w:eastAsia="ru-RU"/>
        </w:rPr>
      </w:pPr>
      <w:r w:rsidRPr="00960905">
        <w:rPr>
          <w:rFonts w:ascii="Times New Roman Tj" w:hAnsi="Times New Roman Tj"/>
          <w:bCs/>
          <w:sz w:val="28"/>
          <w:szCs w:val="28"/>
          <w:lang w:eastAsia="ru-RU"/>
        </w:rPr>
        <w:t xml:space="preserve">      Утвержден </w:t>
      </w:r>
    </w:p>
    <w:p w:rsidR="009F5D07" w:rsidRPr="00960905" w:rsidRDefault="009F5D07" w:rsidP="00CC5787">
      <w:pPr>
        <w:autoSpaceDE w:val="0"/>
        <w:autoSpaceDN w:val="0"/>
        <w:adjustRightInd w:val="0"/>
        <w:spacing w:after="0" w:line="240" w:lineRule="auto"/>
        <w:ind w:left="57" w:right="126" w:firstLine="651"/>
        <w:jc w:val="right"/>
        <w:rPr>
          <w:rFonts w:ascii="Times New Roman Tj" w:hAnsi="Times New Roman Tj"/>
          <w:bCs/>
          <w:sz w:val="28"/>
          <w:szCs w:val="28"/>
          <w:lang w:eastAsia="ru-RU"/>
        </w:rPr>
      </w:pPr>
      <w:r w:rsidRPr="00960905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r w:rsidRPr="00960905">
        <w:rPr>
          <w:rFonts w:ascii="Times New Roman Tj" w:hAnsi="Times New Roman Tj"/>
          <w:bCs/>
          <w:sz w:val="28"/>
          <w:szCs w:val="28"/>
          <w:lang w:eastAsia="ru-RU"/>
        </w:rPr>
        <w:tab/>
      </w:r>
      <w:r w:rsidRPr="00960905">
        <w:rPr>
          <w:rFonts w:ascii="Times New Roman Tj" w:hAnsi="Times New Roman Tj"/>
          <w:bCs/>
          <w:sz w:val="28"/>
          <w:szCs w:val="28"/>
          <w:lang w:eastAsia="ru-RU"/>
        </w:rPr>
        <w:tab/>
      </w:r>
      <w:r w:rsidRPr="00960905">
        <w:rPr>
          <w:rFonts w:ascii="Times New Roman Tj" w:hAnsi="Times New Roman Tj"/>
          <w:bCs/>
          <w:sz w:val="28"/>
          <w:szCs w:val="28"/>
          <w:lang w:eastAsia="ru-RU"/>
        </w:rPr>
        <w:tab/>
        <w:t>постановлением Правительства</w:t>
      </w:r>
    </w:p>
    <w:p w:rsidR="009F5D07" w:rsidRPr="00960905" w:rsidRDefault="009F5D07" w:rsidP="00CC5787">
      <w:pPr>
        <w:autoSpaceDE w:val="0"/>
        <w:autoSpaceDN w:val="0"/>
        <w:adjustRightInd w:val="0"/>
        <w:spacing w:after="0" w:line="240" w:lineRule="auto"/>
        <w:ind w:left="9261"/>
        <w:jc w:val="right"/>
        <w:rPr>
          <w:rFonts w:ascii="Times New Roman Tj" w:hAnsi="Times New Roman Tj"/>
          <w:bCs/>
          <w:sz w:val="28"/>
          <w:szCs w:val="28"/>
          <w:lang w:eastAsia="ru-RU"/>
        </w:rPr>
      </w:pPr>
      <w:r w:rsidRPr="00960905">
        <w:rPr>
          <w:rFonts w:ascii="Times New Roman Tj" w:hAnsi="Times New Roman Tj"/>
          <w:bCs/>
          <w:sz w:val="28"/>
          <w:szCs w:val="28"/>
          <w:lang w:eastAsia="ru-RU"/>
        </w:rPr>
        <w:t xml:space="preserve">            Республики Таджикистан</w:t>
      </w:r>
      <w:bookmarkStart w:id="8" w:name="_GoBack"/>
      <w:bookmarkEnd w:id="8"/>
    </w:p>
    <w:p w:rsidR="009F5D07" w:rsidRPr="00960905" w:rsidRDefault="009F5D07" w:rsidP="00CC5787">
      <w:pPr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 Tj" w:hAnsi="Times New Roman Tj"/>
          <w:bCs/>
          <w:sz w:val="28"/>
          <w:szCs w:val="28"/>
          <w:lang w:eastAsia="ru-RU"/>
        </w:rPr>
      </w:pPr>
      <w:r w:rsidRPr="00960905">
        <w:rPr>
          <w:rFonts w:ascii="Times New Roman Tj" w:hAnsi="Times New Roman Tj"/>
          <w:bCs/>
          <w:sz w:val="28"/>
          <w:szCs w:val="28"/>
          <w:lang w:eastAsia="ru-RU"/>
        </w:rPr>
        <w:t xml:space="preserve">                 </w:t>
      </w:r>
      <w:r w:rsidRPr="00960905">
        <w:rPr>
          <w:rFonts w:ascii="Times New Roman Tj" w:hAnsi="Times New Roman Tj"/>
          <w:bCs/>
          <w:spacing w:val="-6"/>
          <w:sz w:val="28"/>
          <w:szCs w:val="28"/>
          <w:lang w:eastAsia="ru-RU"/>
        </w:rPr>
        <w:t xml:space="preserve">от </w:t>
      </w:r>
      <w:r w:rsidRPr="00960905">
        <w:rPr>
          <w:rFonts w:ascii="Times New Roman Tj" w:hAnsi="Times New Roman Tj"/>
          <w:bCs/>
          <w:spacing w:val="-6"/>
          <w:sz w:val="28"/>
          <w:szCs w:val="28"/>
          <w:lang w:eastAsia="ru-RU"/>
        </w:rPr>
        <w:softHyphen/>
      </w:r>
      <w:r w:rsidRPr="00960905">
        <w:rPr>
          <w:rFonts w:ascii="Times New Roman Tj" w:hAnsi="Times New Roman Tj"/>
          <w:bCs/>
          <w:spacing w:val="-6"/>
          <w:sz w:val="28"/>
          <w:szCs w:val="28"/>
          <w:lang w:eastAsia="ru-RU"/>
        </w:rPr>
        <w:softHyphen/>
      </w:r>
      <w:r w:rsidRPr="00960905">
        <w:rPr>
          <w:rFonts w:ascii="Times New Roman Tj" w:hAnsi="Times New Roman Tj"/>
          <w:bCs/>
          <w:spacing w:val="-6"/>
          <w:sz w:val="28"/>
          <w:szCs w:val="28"/>
          <w:lang w:eastAsia="ru-RU"/>
        </w:rPr>
        <w:softHyphen/>
      </w:r>
      <w:r w:rsidRPr="00960905">
        <w:rPr>
          <w:rFonts w:ascii="Times New Roman Tj" w:hAnsi="Times New Roman Tj"/>
          <w:bCs/>
          <w:spacing w:val="-6"/>
          <w:sz w:val="28"/>
          <w:szCs w:val="28"/>
          <w:lang w:eastAsia="ru-RU"/>
        </w:rPr>
        <w:softHyphen/>
        <w:t xml:space="preserve">1 мая 2020 года, №253  </w:t>
      </w:r>
    </w:p>
    <w:p w:rsidR="009F5D07" w:rsidRPr="00960905" w:rsidRDefault="009F5D07" w:rsidP="009F5D07">
      <w:pPr>
        <w:spacing w:after="0" w:line="276" w:lineRule="auto"/>
        <w:jc w:val="center"/>
        <w:rPr>
          <w:rFonts w:ascii="Times New Roman Tj" w:hAnsi="Times New Roman Tj"/>
          <w:sz w:val="28"/>
          <w:szCs w:val="28"/>
        </w:rPr>
      </w:pPr>
    </w:p>
    <w:p w:rsidR="009F5D07" w:rsidRPr="00960905" w:rsidRDefault="009F5D07" w:rsidP="009F5D07">
      <w:pPr>
        <w:spacing w:after="0" w:line="276" w:lineRule="auto"/>
        <w:jc w:val="center"/>
        <w:rPr>
          <w:rFonts w:ascii="Times New Roman Tj" w:hAnsi="Times New Roman Tj"/>
          <w:sz w:val="28"/>
          <w:szCs w:val="28"/>
        </w:rPr>
      </w:pPr>
      <w:r w:rsidRPr="00960905">
        <w:rPr>
          <w:rFonts w:ascii="Times New Roman Tj" w:hAnsi="Times New Roman Tj"/>
          <w:sz w:val="28"/>
          <w:szCs w:val="28"/>
        </w:rPr>
        <w:t>ПЛАН</w:t>
      </w:r>
    </w:p>
    <w:p w:rsidR="009F5D07" w:rsidRPr="00960905" w:rsidRDefault="009F5D07" w:rsidP="009F5D07">
      <w:pPr>
        <w:spacing w:after="0" w:line="276" w:lineRule="auto"/>
        <w:ind w:firstLine="142"/>
        <w:jc w:val="center"/>
        <w:rPr>
          <w:rFonts w:ascii="Times New Roman Tj" w:hAnsi="Times New Roman Tj"/>
          <w:sz w:val="28"/>
          <w:szCs w:val="28"/>
        </w:rPr>
      </w:pPr>
      <w:r w:rsidRPr="00960905">
        <w:rPr>
          <w:rFonts w:ascii="Times New Roman Tj" w:hAnsi="Times New Roman Tj"/>
          <w:sz w:val="28"/>
          <w:szCs w:val="28"/>
          <w:lang w:val="tg-Cyrl-TJ"/>
        </w:rPr>
        <w:t>м</w:t>
      </w:r>
      <w:proofErr w:type="spellStart"/>
      <w:r w:rsidRPr="00960905">
        <w:rPr>
          <w:rFonts w:ascii="Times New Roman Tj" w:hAnsi="Times New Roman Tj"/>
          <w:sz w:val="28"/>
          <w:szCs w:val="28"/>
        </w:rPr>
        <w:t>ероприятий</w:t>
      </w:r>
      <w:proofErr w:type="spellEnd"/>
      <w:r w:rsidRPr="00960905">
        <w:rPr>
          <w:rFonts w:ascii="Times New Roman Tj" w:hAnsi="Times New Roman Tj"/>
          <w:sz w:val="28"/>
          <w:szCs w:val="28"/>
        </w:rPr>
        <w:t xml:space="preserve"> по реализации Государственной программы </w:t>
      </w:r>
      <w:r w:rsidRPr="00960905">
        <w:rPr>
          <w:rFonts w:ascii="Times New Roman Tj" w:hAnsi="Times New Roman Tj"/>
          <w:sz w:val="28"/>
          <w:szCs w:val="28"/>
          <w:lang w:val="tg-Cyrl-TJ"/>
        </w:rPr>
        <w:t>охран</w:t>
      </w:r>
      <w:r w:rsidRPr="00960905">
        <w:rPr>
          <w:rFonts w:ascii="Times New Roman Tj" w:hAnsi="Times New Roman Tj"/>
          <w:sz w:val="28"/>
          <w:szCs w:val="28"/>
        </w:rPr>
        <w:t xml:space="preserve">ы историко-культурного наследия </w:t>
      </w:r>
    </w:p>
    <w:p w:rsidR="009F5D07" w:rsidRPr="00960905" w:rsidRDefault="009F5D07" w:rsidP="009F5D07">
      <w:pPr>
        <w:spacing w:after="0" w:line="276" w:lineRule="auto"/>
        <w:ind w:firstLine="142"/>
        <w:jc w:val="center"/>
        <w:rPr>
          <w:rFonts w:ascii="Times New Roman Tj" w:hAnsi="Times New Roman Tj"/>
          <w:sz w:val="28"/>
          <w:szCs w:val="28"/>
        </w:rPr>
      </w:pPr>
      <w:r w:rsidRPr="00960905">
        <w:rPr>
          <w:rFonts w:ascii="Times New Roman Tj" w:hAnsi="Times New Roman Tj"/>
          <w:sz w:val="28"/>
          <w:szCs w:val="28"/>
        </w:rPr>
        <w:t>на 2021-2025 годы</w:t>
      </w:r>
    </w:p>
    <w:p w:rsidR="009F5D07" w:rsidRPr="00960905" w:rsidRDefault="009F5D07" w:rsidP="009F5D07">
      <w:pPr>
        <w:spacing w:after="0" w:line="276" w:lineRule="auto"/>
        <w:ind w:firstLine="142"/>
        <w:jc w:val="center"/>
        <w:rPr>
          <w:rFonts w:ascii="Times New Roman Tj" w:hAnsi="Times New Roman Tj"/>
          <w:sz w:val="24"/>
          <w:szCs w:val="24"/>
        </w:rPr>
      </w:pPr>
    </w:p>
    <w:p w:rsidR="009F5D07" w:rsidRPr="00960905" w:rsidRDefault="009F5D07" w:rsidP="009F5D07">
      <w:pPr>
        <w:spacing w:after="0" w:line="276" w:lineRule="auto"/>
        <w:ind w:firstLine="142"/>
        <w:jc w:val="center"/>
        <w:rPr>
          <w:rFonts w:ascii="Times New Roman Tj" w:hAnsi="Times New Roman Tj"/>
          <w:sz w:val="24"/>
          <w:szCs w:val="24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3"/>
        <w:gridCol w:w="127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2125"/>
      </w:tblGrid>
      <w:tr w:rsidR="00960905" w:rsidRPr="00960905" w:rsidTr="009F5D0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</w:rPr>
            </w:pPr>
            <w:r w:rsidRPr="00960905">
              <w:rPr>
                <w:rFonts w:ascii="Times New Roman Tj" w:hAnsi="Times New Roman Tj"/>
                <w:b/>
              </w:rPr>
              <w:t>Средства</w:t>
            </w:r>
          </w:p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</w:rPr>
              <w:t xml:space="preserve">(сумма)   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proofErr w:type="gramStart"/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 xml:space="preserve">Финансирование (1 – из средств государственного бюджета, </w:t>
            </w:r>
            <w:proofErr w:type="gramEnd"/>
          </w:p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proofErr w:type="gramStart"/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 xml:space="preserve">2 – финансирование из других источников) 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Ответственный</w:t>
            </w:r>
          </w:p>
        </w:tc>
      </w:tr>
      <w:tr w:rsidR="00960905" w:rsidRPr="00960905" w:rsidTr="009F5D0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тыс.</w:t>
            </w:r>
          </w:p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proofErr w:type="spellStart"/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</w:tr>
      <w:tr w:rsidR="00960905" w:rsidRPr="00960905" w:rsidTr="009F5D0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Частичная реставрация  Крепости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Бешкент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  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Носири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Хусрав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области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right="-107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Реставрация исторической мечети и мавзолея 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Шохи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Хомуш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Муминабадского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области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lastRenderedPageBreak/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Консервация и благоустройство  городища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Тахти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Сангин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Кубодиён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Восстановление мавзолея Ходжа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Сангхок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Варзобского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</w:p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Частичное восстановление буддийского монастыря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Аджинатеппа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Вахшского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</w:p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Открытие  келий медресе Ходжа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Машхад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Шаартузского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Реставрация и  восстановление мавзолеев Ходжа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Накшрон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1 и 2 города Турсунзаде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культуры,</w:t>
            </w:r>
          </w:p>
          <w:p w:rsidR="009F5D07" w:rsidRPr="00960905" w:rsidRDefault="009F5D07" w:rsidP="009F5D07">
            <w:pPr>
              <w:spacing w:after="0" w:line="276" w:lineRule="auto"/>
              <w:ind w:right="-108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исполнительный орган государственной власти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г</w:t>
            </w:r>
            <w:proofErr w:type="gramStart"/>
            <w:r w:rsidRPr="00960905">
              <w:rPr>
                <w:rFonts w:ascii="Times New Roman Tj" w:hAnsi="Times New Roman Tj"/>
                <w:sz w:val="24"/>
                <w:szCs w:val="24"/>
              </w:rPr>
              <w:t>.Т</w:t>
            </w:r>
            <w:proofErr w:type="gramEnd"/>
            <w:r w:rsidRPr="00960905">
              <w:rPr>
                <w:rFonts w:ascii="Times New Roman Tj" w:hAnsi="Times New Roman Tj"/>
                <w:sz w:val="24"/>
                <w:szCs w:val="24"/>
              </w:rPr>
              <w:t>урсунзаде</w:t>
            </w:r>
            <w:proofErr w:type="spellEnd"/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Охрана крепости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Дангара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Дангаринского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области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Реставрация  мавзолея Мухаммада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Башоро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города  Пенджикент Согдийской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исполнительный орган государственной власти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г</w:t>
            </w:r>
            <w:proofErr w:type="gramStart"/>
            <w:r w:rsidRPr="00960905">
              <w:rPr>
                <w:rFonts w:ascii="Times New Roman Tj" w:hAnsi="Times New Roman Tj"/>
                <w:sz w:val="24"/>
                <w:szCs w:val="24"/>
              </w:rPr>
              <w:t>.П</w:t>
            </w:r>
            <w:proofErr w:type="gramEnd"/>
            <w:r w:rsidRPr="00960905">
              <w:rPr>
                <w:rFonts w:ascii="Times New Roman Tj" w:hAnsi="Times New Roman Tj"/>
                <w:sz w:val="24"/>
                <w:szCs w:val="24"/>
              </w:rPr>
              <w:t>енджикент</w:t>
            </w:r>
            <w:proofErr w:type="spellEnd"/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Проектные, исследовательские и археологические работы  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1021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культуры,</w:t>
            </w:r>
          </w:p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>Национальная академия наук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> 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Повышение квалификации специалистов сферы за пределами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Частичное восстановление Крепости  Золи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Зар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Фархорского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Хатлонской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области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Сертификация, планирование,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подготовка и установка знаков,  научных паспортов памятников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lastRenderedPageBreak/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исполнительные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органы государственной власти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Частичная реставрация Крепости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Кахкаха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Ишкашимского района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 xml:space="preserve">Горно-Бадахшанской автономной области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исполнительный орган государственной власти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 xml:space="preserve">Горно-Бадахшанской автономной области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Частичная реставрация и консервация Крепости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Ямчун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Ишкашимского района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 xml:space="preserve">Горно-Бадахшанской автономной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exact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исполнительный орган государственной власти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 xml:space="preserve">Горно-Бадахшанской автономной области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Реставрация  исторической мечети  Дар-Дар</w:t>
            </w:r>
          </w:p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Айнинского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Согдийской области </w:t>
            </w:r>
          </w:p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</w:p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Реставрация  минарета  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Варзи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Манор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Айнинского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Согдийской области</w:t>
            </w:r>
          </w:p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Консервация Крепости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Санджаршох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города  Пенджикент Согдийской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</w:p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lastRenderedPageBreak/>
              <w:t>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Ограждение петроглифов Сой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Сабаг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Кухистони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960905">
              <w:rPr>
                <w:rFonts w:ascii="Times New Roman Tj" w:hAnsi="Times New Roman Tj"/>
                <w:sz w:val="24"/>
                <w:szCs w:val="24"/>
              </w:rPr>
              <w:t>Мастчохского</w:t>
            </w:r>
            <w:proofErr w:type="spellEnd"/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 района Согдийской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</w:p>
          <w:p w:rsidR="009F5D07" w:rsidRPr="00960905" w:rsidRDefault="009F5D07" w:rsidP="009F5D07">
            <w:pPr>
              <w:spacing w:after="0" w:line="276" w:lineRule="auto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Проектные, исследовательские и археологические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Министерство культуры,</w:t>
            </w:r>
          </w:p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>Национальная академия наук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Проведение семинаров и научных конференций по сохранению историко-культурного  наследия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>Национальная академия наук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> 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Внесение памятников в список Всемирного культурного наследия  ЮНЕСКО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>Национальная академия наук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> </w:t>
            </w:r>
          </w:p>
        </w:tc>
      </w:tr>
      <w:tr w:rsidR="00960905" w:rsidRPr="00960905" w:rsidTr="009F5D07">
        <w:trPr>
          <w:trHeight w:val="9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Пропаганда историко-культурного  наследия  через издания и другие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jc w:val="center"/>
              <w:rPr>
                <w:rFonts w:ascii="Times New Roman Tj" w:hAnsi="Times New Roman Tj"/>
                <w:sz w:val="25"/>
                <w:szCs w:val="25"/>
              </w:rPr>
            </w:pPr>
            <w:r w:rsidRPr="00960905">
              <w:rPr>
                <w:rFonts w:ascii="Times New Roman Tj" w:hAnsi="Times New Roman Tj"/>
                <w:sz w:val="25"/>
                <w:szCs w:val="25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firstLine="142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 xml:space="preserve">Министерство культуры, </w:t>
            </w:r>
            <w:r w:rsidRPr="00960905">
              <w:rPr>
                <w:rFonts w:ascii="Times New Roman Tj" w:hAnsi="Times New Roman Tj"/>
                <w:bCs/>
                <w:sz w:val="24"/>
                <w:szCs w:val="24"/>
              </w:rPr>
              <w:t>Национальная академия наук</w:t>
            </w:r>
            <w:r w:rsidRPr="00960905">
              <w:rPr>
                <w:rFonts w:ascii="Times New Roman Tj" w:hAnsi="Times New Roman Tj"/>
                <w:sz w:val="24"/>
                <w:szCs w:val="24"/>
              </w:rPr>
              <w:t> </w:t>
            </w:r>
          </w:p>
        </w:tc>
      </w:tr>
      <w:tr w:rsidR="00960905" w:rsidRPr="00960905" w:rsidTr="009F5D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ind w:left="862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07" w:rsidRPr="00960905" w:rsidRDefault="009F5D07" w:rsidP="009F5D07">
            <w:pPr>
              <w:spacing w:after="0"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960905">
              <w:rPr>
                <w:rFonts w:ascii="Times New Roman Tj" w:hAnsi="Times New Roman Tj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jc w:val="right"/>
              <w:rPr>
                <w:rFonts w:ascii="Times New Roman Tj" w:hAnsi="Times New Roman Tj" w:cs="Calibri"/>
                <w:sz w:val="25"/>
                <w:szCs w:val="25"/>
              </w:rPr>
            </w:pPr>
            <w:r w:rsidRPr="00960905">
              <w:rPr>
                <w:rFonts w:ascii="Times New Roman Tj" w:hAnsi="Times New Roman Tj" w:cs="Calibri"/>
                <w:sz w:val="25"/>
                <w:szCs w:val="25"/>
              </w:rPr>
              <w:t>26813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3375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6125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5597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6243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D07" w:rsidRPr="00960905" w:rsidRDefault="009F5D07" w:rsidP="009F5D07">
            <w:pPr>
              <w:spacing w:after="200" w:line="276" w:lineRule="auto"/>
              <w:rPr>
                <w:rFonts w:ascii="Times New Roman Tj" w:hAnsi="Times New Roman Tj" w:cs="Calibri"/>
                <w:sz w:val="24"/>
                <w:szCs w:val="24"/>
              </w:rPr>
            </w:pPr>
            <w:r w:rsidRPr="00960905">
              <w:rPr>
                <w:rFonts w:ascii="Times New Roman Tj" w:hAnsi="Times New Roman Tj" w:cs="Calibri"/>
                <w:sz w:val="24"/>
                <w:szCs w:val="24"/>
              </w:rPr>
              <w:t>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07" w:rsidRPr="00960905" w:rsidRDefault="009F5D07" w:rsidP="009F5D07">
            <w:pPr>
              <w:spacing w:after="0" w:line="276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p w:rsidR="009F5D07" w:rsidRPr="00960905" w:rsidRDefault="009F5D07" w:rsidP="009F5D07">
      <w:pPr>
        <w:jc w:val="both"/>
        <w:rPr>
          <w:rFonts w:ascii="Times New Roman" w:hAnsi="Times New Roman"/>
        </w:rPr>
        <w:sectPr w:rsidR="009F5D07" w:rsidRPr="00960905" w:rsidSect="009F5D0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929D9" w:rsidRPr="00960905" w:rsidRDefault="00E929D9" w:rsidP="009F5D07">
      <w:pPr>
        <w:jc w:val="both"/>
        <w:rPr>
          <w:rFonts w:ascii="Times New Roman" w:hAnsi="Times New Roman"/>
        </w:rPr>
      </w:pPr>
    </w:p>
    <w:sectPr w:rsidR="00E929D9" w:rsidRPr="00960905" w:rsidSect="009F5D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3983"/>
    <w:multiLevelType w:val="hybridMultilevel"/>
    <w:tmpl w:val="2356E4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92"/>
    <w:rsid w:val="008D6562"/>
    <w:rsid w:val="00960905"/>
    <w:rsid w:val="009F5D07"/>
    <w:rsid w:val="00CC5787"/>
    <w:rsid w:val="00DF209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36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2706</Words>
  <Characters>15429</Characters>
  <Application>Microsoft Office Word</Application>
  <DocSecurity>0</DocSecurity>
  <Lines>128</Lines>
  <Paragraphs>36</Paragraphs>
  <ScaleCrop>false</ScaleCrop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4</cp:revision>
  <dcterms:created xsi:type="dcterms:W3CDTF">2020-06-15T05:12:00Z</dcterms:created>
  <dcterms:modified xsi:type="dcterms:W3CDTF">2020-06-16T05:01:00Z</dcterms:modified>
</cp:coreProperties>
</file>