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Порядок введения в действие настоящего Закона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Эмомали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 21 июля 2010 года № 629</w:t>
      </w:r>
    </w:p>
    <w:p w:rsid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 Закона  Республики  Таджикистан  "</w:t>
      </w:r>
      <w:proofErr w:type="gram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Технологическом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парке"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Республики Таджикистан "О Технологическом парке".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Ш.Зухуров</w:t>
      </w:r>
      <w:proofErr w:type="spellEnd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г</w:t>
      </w:r>
      <w:proofErr w:type="gram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350389">
        <w:rPr>
          <w:rFonts w:ascii="Courier New CYR" w:hAnsi="Courier New CYR" w:cs="Courier New CYR"/>
          <w:b/>
          <w:bCs/>
          <w:sz w:val="20"/>
          <w:szCs w:val="20"/>
        </w:rPr>
        <w:t>ушанбе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>, 16 июня 2010 года, №111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О Законе Республики Таджикистан "О Технологическом парке"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Республики   Таджикистан   "О   </w:t>
      </w:r>
      <w:proofErr w:type="gram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Технологическом</w:t>
      </w:r>
      <w:proofErr w:type="gramEnd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парке",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Технологическом парке".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Оли Республики Таджикистан                       </w:t>
      </w:r>
      <w:proofErr w:type="spellStart"/>
      <w:r w:rsidRPr="00350389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35038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8 июля 2010 года №59</w:t>
      </w:r>
    </w:p>
    <w:p w:rsidR="00350389" w:rsidRPr="00350389" w:rsidRDefault="00350389" w:rsidP="0035038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350389" w:rsidRPr="00350389" w:rsidRDefault="00350389" w:rsidP="00350389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350389" w:rsidRDefault="00D51C75" w:rsidP="00350389"/>
    <w:sectPr w:rsidR="00D51C75" w:rsidRPr="00350389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224EE7"/>
    <w:rsid w:val="00350389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2017-05-05T03:37:00Z</dcterms:created>
  <dcterms:modified xsi:type="dcterms:W3CDTF">2017-05-05T04:38:00Z</dcterms:modified>
</cp:coreProperties>
</file>